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173"/>
      </w:tblGrid>
      <w:tr>
        <w:tc>
          <w:tcPr>
            <w:tcW w:type="dxa" w:w="9173"/>
            <w:shd w:val="clear" w:color="auto" w:fill="102A54"/>
            <w:tcMar>
              <w:top w:w="260" w:type="dxa"/>
              <w:bottom w:w="260" w:type="dxa"/>
              <w:start w:w="240" w:type="dxa"/>
              <w:end w:w="2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8FC2F0"/>
                <w:sz w:val="22"/>
              </w:rPr>
              <w:t>JNEOPALLIUM · INDUSTRIAL LOOP GUARDIAN</w:t>
            </w:r>
          </w:p>
          <w:p>
            <w:pPr>
              <w:spacing w:after="40"/>
            </w:pPr>
            <w:r>
              <w:rPr>
                <w:rFonts w:ascii="Calibri" w:hAnsi="Calibri"/>
                <w:color w:val="B9C6DA"/>
                <w:sz w:val="18"/>
              </w:rPr>
              <w:t>ПОСІБНИК З РОЗГОРТАННЯ</w:t>
            </w:r>
          </w:p>
        </w:tc>
      </w:tr>
    </w:tbl>
    <w:p>
      <w:pPr>
        <w:spacing w:after="0" w:before="0"/>
      </w:pPr>
      <w:r>
        <w:rPr>
          <w:sz w:val="40"/>
        </w:rPr>
      </w:r>
    </w:p>
    <w:p>
      <w:pPr>
        <w:spacing w:after="80"/>
      </w:pPr>
      <w:r>
        <w:rPr>
          <w:rFonts w:ascii="Calibri" w:hAnsi="Calibri"/>
          <w:b/>
          <w:color w:val="102A54"/>
          <w:sz w:val="60"/>
        </w:rPr>
        <w:t>Посібник з розгортання</w:t>
      </w:r>
    </w:p>
    <w:p>
      <w:pPr>
        <w:spacing w:after="200"/>
      </w:pPr>
      <w:r>
        <w:rPr>
          <w:rFonts w:ascii="Calibri" w:hAnsi="Calibri"/>
          <w:color w:val="1C5D99"/>
          <w:sz w:val="28"/>
        </w:rPr>
        <w:t>Запустіть навчену наглядову мережу як тіньовий/рекомендаційний worker над PLC/PID/SIS</w:t>
      </w:r>
    </w:p>
    <w:p>
      <w:pPr>
        <w:pBdr>
          <w:bottom w:val="single" w:sz="10" w:space="4" w:color="0E7C86"/>
        </w:pBdr>
      </w:pPr>
    </w:p>
    <w:p>
      <w:pPr>
        <w:spacing w:after="0" w:before="0"/>
      </w:pPr>
      <w:r>
        <w:rPr>
          <w:sz w:val="16"/>
        </w:rPr>
      </w:r>
    </w:p>
    <w:p>
      <w:pPr>
        <w:spacing w:after="120"/>
      </w:pPr>
      <w:r>
        <w:rPr>
          <w:rFonts w:ascii="Calibri" w:hAnsi="Calibri"/>
          <w:i/>
          <w:color w:val="555F70"/>
          <w:sz w:val="23"/>
        </w:rPr>
        <w:t>Половина конвеєра, що відповідає за розгортання: візьміть мережу JNeopallium, яку створив тренер, — разом із готовим промисловим контекстом — під'єднайте її до ваших потоків OPC UA, MQTT і Kafka та запустіть як безперервний тіньово-рекомендаційний наглядовий worker, що ніколи не торкається детермінованого керування.</w:t>
      </w:r>
    </w:p>
    <w:p>
      <w:pPr>
        <w:spacing w:after="0" w:before="0"/>
      </w:pPr>
      <w:r>
        <w:rPr>
          <w:sz w:val="20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586"/>
        <w:gridCol w:w="4586"/>
      </w:tblGrid>
      <w:tr>
        <w:tc>
          <w:tcPr>
            <w:tcW w:type="dxa" w:w="4586"/>
            <w:tcMar>
              <w:top w:w="40" w:type="dxa"/>
              <w:bottom w:w="40" w:type="dxa"/>
              <w:start w:w="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555F70"/>
                <w:sz w:val="19"/>
              </w:rPr>
              <w:t>Документ</w:t>
            </w:r>
          </w:p>
        </w:tc>
        <w:tc>
          <w:tcPr>
            <w:tcW w:type="dxa" w:w="4586"/>
            <w:tcMar>
              <w:top w:w="40" w:type="dxa"/>
              <w:bottom w:w="40" w:type="dxa"/>
              <w:start w:w="0" w:type="dxa"/>
              <w:end w:w="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41B2E"/>
                <w:sz w:val="19"/>
              </w:rPr>
              <w:t>Посібник з промислового розгортання</w:t>
            </w:r>
          </w:p>
        </w:tc>
      </w:tr>
      <w:tr>
        <w:tc>
          <w:tcPr>
            <w:tcW w:type="dxa" w:w="4586"/>
            <w:tcMar>
              <w:top w:w="40" w:type="dxa"/>
              <w:bottom w:w="40" w:type="dxa"/>
              <w:start w:w="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555F70"/>
                <w:sz w:val="19"/>
              </w:rPr>
              <w:t>Продукт</w:t>
            </w:r>
          </w:p>
        </w:tc>
        <w:tc>
          <w:tcPr>
            <w:tcW w:type="dxa" w:w="4586"/>
            <w:tcMar>
              <w:top w:w="40" w:type="dxa"/>
              <w:bottom w:w="40" w:type="dxa"/>
              <w:start w:w="0" w:type="dxa"/>
              <w:end w:w="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41B2E"/>
                <w:sz w:val="19"/>
              </w:rPr>
              <w:t>Jneopallium Industrial Loop Guardian (демо FMI-скіда)</w:t>
            </w:r>
          </w:p>
        </w:tc>
      </w:tr>
      <w:tr>
        <w:tc>
          <w:tcPr>
            <w:tcW w:type="dxa" w:w="4586"/>
            <w:tcMar>
              <w:top w:w="40" w:type="dxa"/>
              <w:bottom w:w="40" w:type="dxa"/>
              <w:start w:w="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555F70"/>
                <w:sz w:val="19"/>
              </w:rPr>
              <w:t>Споживає</w:t>
            </w:r>
          </w:p>
        </w:tc>
        <w:tc>
          <w:tcPr>
            <w:tcW w:type="dxa" w:w="4586"/>
            <w:tcMar>
              <w:top w:w="40" w:type="dxa"/>
              <w:bottom w:w="40" w:type="dxa"/>
              <w:start w:w="0" w:type="dxa"/>
              <w:end w:w="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41B2E"/>
                <w:sz w:val="19"/>
              </w:rPr>
              <w:t>Готову до розгортання мережу з Посібника з навчання</w:t>
            </w:r>
          </w:p>
        </w:tc>
      </w:tr>
      <w:tr>
        <w:tc>
          <w:tcPr>
            <w:tcW w:type="dxa" w:w="4586"/>
            <w:tcMar>
              <w:top w:w="40" w:type="dxa"/>
              <w:bottom w:w="40" w:type="dxa"/>
              <w:start w:w="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555F70"/>
                <w:sz w:val="19"/>
              </w:rPr>
              <w:t>Режим безпеки</w:t>
            </w:r>
          </w:p>
        </w:tc>
        <w:tc>
          <w:tcPr>
            <w:tcW w:type="dxa" w:w="4586"/>
            <w:tcMar>
              <w:top w:w="40" w:type="dxa"/>
              <w:bottom w:w="40" w:type="dxa"/>
              <w:start w:w="0" w:type="dxa"/>
              <w:end w:w="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41B2E"/>
                <w:sz w:val="19"/>
              </w:rPr>
              <w:t>ADVISORY (наглядовий, лише рекомендації)</w:t>
            </w:r>
          </w:p>
        </w:tc>
      </w:tr>
      <w:tr>
        <w:tc>
          <w:tcPr>
            <w:tcW w:type="dxa" w:w="4586"/>
            <w:tcMar>
              <w:top w:w="40" w:type="dxa"/>
              <w:bottom w:w="40" w:type="dxa"/>
              <w:start w:w="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555F70"/>
                <w:sz w:val="19"/>
              </w:rPr>
              <w:t>Платформи</w:t>
            </w:r>
          </w:p>
        </w:tc>
        <w:tc>
          <w:tcPr>
            <w:tcW w:type="dxa" w:w="4586"/>
            <w:tcMar>
              <w:top w:w="40" w:type="dxa"/>
              <w:bottom w:w="40" w:type="dxa"/>
              <w:start w:w="0" w:type="dxa"/>
              <w:end w:w="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41B2E"/>
                <w:sz w:val="19"/>
              </w:rPr>
              <w:t>Windows (PowerShell) і Linux/macOS (bash)</w:t>
            </w:r>
          </w:p>
        </w:tc>
      </w:tr>
      <w:tr>
        <w:tc>
          <w:tcPr>
            <w:tcW w:type="dxa" w:w="4586"/>
            <w:tcMar>
              <w:top w:w="40" w:type="dxa"/>
              <w:bottom w:w="40" w:type="dxa"/>
              <w:start w:w="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555F70"/>
                <w:sz w:val="19"/>
              </w:rPr>
              <w:t>Автор</w:t>
            </w:r>
          </w:p>
        </w:tc>
        <w:tc>
          <w:tcPr>
            <w:tcW w:type="dxa" w:w="4586"/>
            <w:tcMar>
              <w:top w:w="40" w:type="dxa"/>
              <w:bottom w:w="40" w:type="dxa"/>
              <w:start w:w="0" w:type="dxa"/>
              <w:end w:w="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41B2E"/>
                <w:sz w:val="19"/>
              </w:rPr>
              <w:t>Дмитро Раковський — Харків, Україна</w:t>
            </w:r>
          </w:p>
        </w:tc>
      </w:tr>
      <w:tr>
        <w:tc>
          <w:tcPr>
            <w:tcW w:type="dxa" w:w="4586"/>
            <w:tcMar>
              <w:top w:w="40" w:type="dxa"/>
              <w:bottom w:w="40" w:type="dxa"/>
              <w:start w:w="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555F70"/>
                <w:sz w:val="19"/>
              </w:rPr>
              <w:t>Дата</w:t>
            </w:r>
          </w:p>
        </w:tc>
        <w:tc>
          <w:tcPr>
            <w:tcW w:type="dxa" w:w="4586"/>
            <w:tcMar>
              <w:top w:w="40" w:type="dxa"/>
              <w:bottom w:w="40" w:type="dxa"/>
              <w:start w:w="0" w:type="dxa"/>
              <w:end w:w="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41B2E"/>
                <w:sz w:val="19"/>
              </w:rPr>
              <w:t>23 червня 2026</w:t>
            </w:r>
          </w:p>
        </w:tc>
      </w:tr>
      <w:tr>
        <w:tc>
          <w:tcPr>
            <w:tcW w:type="dxa" w:w="2448"/>
            <w:tcMar>
              <w:top w:w="40" w:type="dxa"/>
              <w:bottom w:w="40" w:type="dxa"/>
              <w:start w:w="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555F70"/>
                <w:sz w:val="19"/>
              </w:rPr>
              <w:t>Ліцензія</w:t>
            </w:r>
          </w:p>
        </w:tc>
        <w:tc>
          <w:tcPr>
            <w:tcW w:type="dxa" w:w="6624"/>
            <w:tcMar>
              <w:top w:w="40" w:type="dxa"/>
              <w:bottom w:w="40" w:type="dxa"/>
              <w:start w:w="0" w:type="dxa"/>
              <w:end w:w="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41B2E"/>
                <w:sz w:val="19"/>
              </w:rPr>
              <w:t>BSD 3-Clause</w:t>
            </w:r>
          </w:p>
        </w:tc>
      </w:tr>
    </w:tbl>
    <w:p>
      <w:r>
        <w:br w:type="page"/>
      </w:r>
    </w:p>
    <w:p>
      <w:pPr>
        <w:keepNext/>
        <w:spacing w:before="320" w:after="40"/>
        <w:pBdr>
          <w:bottom w:val="single" w:sz="10" w:space="4" w:color="0E7C86"/>
        </w:pBdr>
      </w:pPr>
      <w:r>
        <w:rPr>
          <w:rFonts w:ascii="Calibri" w:hAnsi="Calibri"/>
          <w:b/>
          <w:color w:val="102A54"/>
          <w:sz w:val="34"/>
        </w:rPr>
        <w:t>Зміст</w:t>
      </w:r>
    </w:p>
    <w:p>
      <w:pPr>
        <w:spacing w:after="80"/>
        <w:ind w:left="144"/>
      </w:pPr>
      <w:r>
        <w:rPr>
          <w:rFonts w:ascii="Calibri" w:hAnsi="Calibri"/>
          <w:b/>
          <w:color w:val="0E7C86"/>
          <w:sz w:val="21"/>
        </w:rPr>
        <w:t xml:space="preserve"> 1.  </w:t>
      </w:r>
      <w:r>
        <w:rPr>
          <w:rFonts w:ascii="Calibri" w:hAnsi="Calibri"/>
          <w:color w:val="141B2E"/>
          <w:sz w:val="21"/>
        </w:rPr>
        <w:t>Чого ви досягнете</w:t>
      </w:r>
    </w:p>
    <w:p>
      <w:pPr>
        <w:spacing w:after="80"/>
        <w:ind w:left="144"/>
      </w:pPr>
      <w:r>
        <w:rPr>
          <w:rFonts w:ascii="Calibri" w:hAnsi="Calibri"/>
          <w:b/>
          <w:color w:val="0E7C86"/>
          <w:sz w:val="21"/>
        </w:rPr>
        <w:t xml:space="preserve"> 2.  </w:t>
      </w:r>
      <w:r>
        <w:rPr>
          <w:rFonts w:ascii="Calibri" w:hAnsi="Calibri"/>
          <w:color w:val="141B2E"/>
          <w:sz w:val="21"/>
        </w:rPr>
        <w:t>Передумови — навчений пакет і середовище виконання</w:t>
      </w:r>
    </w:p>
    <w:p>
      <w:pPr>
        <w:spacing w:after="80"/>
        <w:ind w:left="144"/>
      </w:pPr>
      <w:r>
        <w:rPr>
          <w:rFonts w:ascii="Calibri" w:hAnsi="Calibri"/>
          <w:b/>
          <w:color w:val="0E7C86"/>
          <w:sz w:val="21"/>
        </w:rPr>
        <w:t xml:space="preserve"> 3.  </w:t>
      </w:r>
      <w:r>
        <w:rPr>
          <w:rFonts w:ascii="Calibri" w:hAnsi="Calibri"/>
          <w:color w:val="141B2E"/>
          <w:sz w:val="21"/>
        </w:rPr>
        <w:t>Архітектура запуску</w:t>
      </w:r>
    </w:p>
    <w:p>
      <w:pPr>
        <w:spacing w:after="80"/>
        <w:ind w:left="144"/>
      </w:pPr>
      <w:r>
        <w:rPr>
          <w:rFonts w:ascii="Calibri" w:hAnsi="Calibri"/>
          <w:b/>
          <w:color w:val="0E7C86"/>
          <w:sz w:val="21"/>
        </w:rPr>
        <w:t xml:space="preserve"> 4.  </w:t>
      </w:r>
      <w:r>
        <w:rPr>
          <w:rFonts w:ascii="Calibri" w:hAnsi="Calibri"/>
          <w:color w:val="141B2E"/>
          <w:sz w:val="21"/>
        </w:rPr>
        <w:t>Готовий до розгортання пакет (що створило навчання)</w:t>
      </w:r>
    </w:p>
    <w:p>
      <w:pPr>
        <w:spacing w:after="80"/>
        <w:ind w:left="144"/>
      </w:pPr>
      <w:r>
        <w:rPr>
          <w:rFonts w:ascii="Calibri" w:hAnsi="Calibri"/>
          <w:b/>
          <w:color w:val="0E7C86"/>
          <w:sz w:val="21"/>
        </w:rPr>
        <w:t xml:space="preserve"> 5.  </w:t>
      </w:r>
      <w:r>
        <w:rPr>
          <w:rFonts w:ascii="Calibri" w:hAnsi="Calibri"/>
          <w:color w:val="141B2E"/>
          <w:sz w:val="21"/>
        </w:rPr>
        <w:t>Спрямуйте worker на згенеровану структуру нейромережі</w:t>
      </w:r>
    </w:p>
    <w:p>
      <w:pPr>
        <w:spacing w:after="80"/>
        <w:ind w:left="144"/>
      </w:pPr>
      <w:r>
        <w:rPr>
          <w:rFonts w:ascii="Calibri" w:hAnsi="Calibri"/>
          <w:b/>
          <w:color w:val="0E7C86"/>
          <w:sz w:val="21"/>
        </w:rPr>
        <w:t xml:space="preserve"> 6.  </w:t>
      </w:r>
      <w:r>
        <w:rPr>
          <w:rFonts w:ascii="Calibri" w:hAnsi="Calibri"/>
          <w:color w:val="141B2E"/>
          <w:sz w:val="21"/>
        </w:rPr>
        <w:t>Спакуйте JAR для розгортання</w:t>
      </w:r>
    </w:p>
    <w:p>
      <w:pPr>
        <w:spacing w:after="80"/>
        <w:ind w:left="144"/>
      </w:pPr>
      <w:r>
        <w:rPr>
          <w:rFonts w:ascii="Calibri" w:hAnsi="Calibri"/>
          <w:b/>
          <w:color w:val="0E7C86"/>
          <w:sz w:val="21"/>
        </w:rPr>
        <w:t xml:space="preserve"> 7.  </w:t>
      </w:r>
      <w:r>
        <w:rPr>
          <w:rFonts w:ascii="Calibri" w:hAnsi="Calibri"/>
          <w:color w:val="141B2E"/>
          <w:sz w:val="21"/>
        </w:rPr>
        <w:t>Конфігурація середовища: production-context.json</w:t>
      </w:r>
    </w:p>
    <w:p>
      <w:pPr>
        <w:spacing w:after="80"/>
        <w:ind w:left="144"/>
      </w:pPr>
      <w:r>
        <w:rPr>
          <w:rFonts w:ascii="Calibri" w:hAnsi="Calibri"/>
          <w:b/>
          <w:color w:val="0E7C86"/>
          <w:sz w:val="21"/>
        </w:rPr>
        <w:t xml:space="preserve"> 8.  </w:t>
      </w:r>
      <w:r>
        <w:rPr>
          <w:rFonts w:ascii="Calibri" w:hAnsi="Calibri"/>
          <w:color w:val="141B2E"/>
          <w:sz w:val="21"/>
        </w:rPr>
        <w:t>Налаштуйте джерела подій і потоковий вхід</w:t>
      </w:r>
    </w:p>
    <w:p>
      <w:pPr>
        <w:spacing w:after="80"/>
        <w:ind w:left="144"/>
      </w:pPr>
      <w:r>
        <w:rPr>
          <w:rFonts w:ascii="Calibri" w:hAnsi="Calibri"/>
          <w:b/>
          <w:color w:val="0E7C86"/>
          <w:sz w:val="21"/>
        </w:rPr>
        <w:t xml:space="preserve"> 9.  </w:t>
      </w:r>
      <w:r>
        <w:rPr>
          <w:rFonts w:ascii="Calibri" w:hAnsi="Calibri"/>
          <w:color w:val="141B2E"/>
          <w:sz w:val="21"/>
        </w:rPr>
        <w:t>Під'єднайте рекомендаційний вивід та запустіть worker</w:t>
      </w:r>
    </w:p>
    <w:p>
      <w:pPr>
        <w:spacing w:after="80"/>
        <w:ind w:left="144"/>
      </w:pPr>
      <w:r>
        <w:rPr>
          <w:rFonts w:ascii="Calibri" w:hAnsi="Calibri"/>
          <w:b/>
          <w:color w:val="0E7C86"/>
          <w:sz w:val="21"/>
        </w:rPr>
        <w:t xml:space="preserve">10.  </w:t>
      </w:r>
      <w:r>
        <w:rPr>
          <w:rFonts w:ascii="Calibri" w:hAnsi="Calibri"/>
          <w:color w:val="141B2E"/>
          <w:sz w:val="21"/>
        </w:rPr>
        <w:t>Межа керування й безпеки в промислі</w:t>
      </w:r>
    </w:p>
    <w:p>
      <w:pPr>
        <w:spacing w:after="80"/>
        <w:ind w:left="144"/>
      </w:pPr>
      <w:r>
        <w:rPr>
          <w:rFonts w:ascii="Calibri" w:hAnsi="Calibri"/>
          <w:b/>
          <w:color w:val="0E7C86"/>
          <w:sz w:val="21"/>
        </w:rPr>
        <w:t xml:space="preserve">11.  </w:t>
      </w:r>
      <w:r>
        <w:rPr>
          <w:rFonts w:ascii="Calibri" w:hAnsi="Calibri"/>
          <w:color w:val="141B2E"/>
          <w:sz w:val="21"/>
        </w:rPr>
        <w:t>Перехід: тінь → рекомендації → обмежена автономність</w:t>
      </w:r>
    </w:p>
    <w:p>
      <w:pPr>
        <w:spacing w:after="80"/>
        <w:ind w:left="144"/>
      </w:pPr>
      <w:r>
        <w:rPr>
          <w:rFonts w:ascii="Calibri" w:hAnsi="Calibri"/>
          <w:b/>
          <w:color w:val="0E7C86"/>
          <w:sz w:val="21"/>
        </w:rPr>
        <w:t xml:space="preserve">12.  </w:t>
      </w:r>
      <w:r>
        <w:rPr>
          <w:rFonts w:ascii="Calibri" w:hAnsi="Calibri"/>
          <w:color w:val="141B2E"/>
          <w:sz w:val="21"/>
        </w:rPr>
        <w:t>Моніторинг у промислі</w:t>
      </w:r>
    </w:p>
    <w:p>
      <w:pPr>
        <w:spacing w:after="80"/>
        <w:ind w:left="144"/>
      </w:pPr>
      <w:r>
        <w:rPr>
          <w:rFonts w:ascii="Calibri" w:hAnsi="Calibri"/>
          <w:b/>
          <w:color w:val="0E7C86"/>
          <w:sz w:val="21"/>
        </w:rPr>
        <w:t xml:space="preserve">13.  </w:t>
      </w:r>
      <w:r>
        <w:rPr>
          <w:rFonts w:ascii="Calibri" w:hAnsi="Calibri"/>
          <w:color w:val="141B2E"/>
          <w:sz w:val="21"/>
        </w:rPr>
        <w:t>Безпека, відкат і пакування</w:t>
      </w:r>
    </w:p>
    <w:p>
      <w:pPr>
        <w:spacing w:after="80"/>
        <w:ind w:left="144"/>
      </w:pPr>
      <w:r>
        <w:rPr>
          <w:rFonts w:ascii="Calibri" w:hAnsi="Calibri"/>
          <w:b/>
          <w:color w:val="0E7C86"/>
          <w:sz w:val="21"/>
        </w:rPr>
        <w:t xml:space="preserve">14.  </w:t>
      </w:r>
      <w:r>
        <w:rPr>
          <w:rFonts w:ascii="Calibri" w:hAnsi="Calibri"/>
          <w:color w:val="141B2E"/>
          <w:sz w:val="21"/>
        </w:rPr>
        <w:t>Усунення несправностей</w:t>
      </w:r>
    </w:p>
    <w:p>
      <w:pPr>
        <w:spacing w:after="80"/>
        <w:ind w:left="144"/>
      </w:pPr>
      <w:r>
        <w:rPr>
          <w:rFonts w:ascii="Calibri" w:hAnsi="Calibri"/>
          <w:b/>
          <w:color w:val="0E7C86"/>
          <w:sz w:val="21"/>
        </w:rPr>
        <w:t xml:space="preserve">15.  </w:t>
      </w:r>
      <w:r>
        <w:rPr>
          <w:rFonts w:ascii="Calibri" w:hAnsi="Calibri"/>
          <w:color w:val="141B2E"/>
          <w:sz w:val="21"/>
        </w:rPr>
        <w:t>Додаток — шпаргалка розгортання</w:t>
      </w:r>
    </w:p>
    <w:p>
      <w:r>
        <w:br w:type="page"/>
      </w:r>
    </w:p>
    <w:p>
      <w:pPr>
        <w:keepNext/>
        <w:spacing w:before="320" w:after="40"/>
        <w:pBdr>
          <w:bottom w:val="single" w:sz="10" w:space="4" w:color="0E7C86"/>
        </w:pBdr>
      </w:pPr>
      <w:r>
        <w:rPr>
          <w:rFonts w:ascii="Calibri" w:hAnsi="Calibri"/>
          <w:b/>
          <w:color w:val="0E7C86"/>
          <w:sz w:val="34"/>
        </w:rPr>
        <w:t xml:space="preserve">1  </w:t>
      </w:r>
      <w:r>
        <w:rPr>
          <w:rFonts w:ascii="Calibri" w:hAnsi="Calibri"/>
          <w:b/>
          <w:color w:val="102A54"/>
          <w:sz w:val="34"/>
        </w:rPr>
        <w:t>Чого ви досягнете</w:t>
      </w:r>
    </w:p>
    <w:p>
      <w:pPr>
        <w:spacing w:after="120"/>
      </w:pPr>
      <w:r>
        <w:rPr>
          <w:rFonts w:ascii="Calibri" w:hAnsi="Calibri"/>
          <w:i w:val="0"/>
          <w:color w:val="141B2E"/>
          <w:sz w:val="21"/>
        </w:rPr>
        <w:t xml:space="preserve">До кінця цього посібника ви візьмете </w:t>
      </w:r>
      <w:r>
        <w:rPr>
          <w:rFonts w:ascii="Calibri" w:hAnsi="Calibri"/>
          <w:b/>
          <w:i w:val="0"/>
          <w:color w:val="141B2E"/>
          <w:sz w:val="21"/>
        </w:rPr>
        <w:t>готову до розгортання мережу, створену Посібником з навчання</w:t>
      </w:r>
      <w:r>
        <w:rPr>
          <w:rFonts w:ascii="Calibri" w:hAnsi="Calibri"/>
          <w:i w:val="0"/>
          <w:color w:val="141B2E"/>
          <w:sz w:val="21"/>
        </w:rPr>
        <w:t xml:space="preserve"> — теку конфігурації рівнів/нейронів JNeopallium плюс готовий </w:t>
      </w:r>
      <w:r>
        <w:rPr>
          <w:rFonts w:ascii="Consolas" w:hAnsi="Consolas"/>
          <w:color w:val="102A54"/>
          <w:sz w:val="20"/>
        </w:rPr>
        <w:t>production-context.json</w:t>
      </w:r>
      <w:r>
        <w:rPr>
          <w:rFonts w:ascii="Calibri" w:hAnsi="Calibri"/>
          <w:i w:val="0"/>
          <w:color w:val="141B2E"/>
          <w:sz w:val="21"/>
        </w:rPr>
        <w:t xml:space="preserve"> — і запустите її як безперервний </w:t>
      </w:r>
      <w:r>
        <w:rPr>
          <w:rFonts w:ascii="Calibri" w:hAnsi="Calibri"/>
          <w:b/>
          <w:i w:val="0"/>
          <w:color w:val="141B2E"/>
          <w:sz w:val="21"/>
        </w:rPr>
        <w:t>наглядовий рекомендаційний worker</w:t>
      </w:r>
      <w:r>
        <w:rPr>
          <w:rFonts w:ascii="Calibri" w:hAnsi="Calibri"/>
          <w:i w:val="0"/>
          <w:color w:val="141B2E"/>
          <w:sz w:val="21"/>
        </w:rPr>
        <w:t>, що діагностує знос насоса, коливання, дрейф датчиків і погіршення енергії та рекомендує, але ніколи автономно не керує.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FBF1E0"/>
          <w:left w:val="single" w:sz="4" w:space="0" w:color="FBF1E0"/>
          <w:bottom w:val="single" w:sz="4" w:space="0" w:color="FBF1E0"/>
          <w:right w:val="single" w:sz="4" w:space="0" w:color="FBF1E0"/>
          <w:insideH w:val="single" w:sz="4" w:space="0" w:color="FBF1E0"/>
          <w:insideV w:val="single" w:sz="4" w:space="0" w:color="FBF1E0"/>
        </w:tblBorders>
      </w:tblPr>
      <w:tblGrid>
        <w:gridCol w:w="9173"/>
      </w:tblGrid>
      <w:tr>
        <w:tc>
          <w:tcPr>
            <w:tcW w:type="dxa" w:w="9173"/>
            <w:shd w:val="clear" w:color="auto" w:fill="FBF1E0"/>
            <w:tcMar>
              <w:top w:w="120" w:type="dxa"/>
              <w:bottom w:w="120" w:type="dxa"/>
              <w:start w:w="160" w:type="dxa"/>
              <w:end w:w="160" w:type="dxa"/>
            </w:tcMar>
            <w:tcBorders>
              <w:left w:val="single" w:sz="24" w:space="0" w:color="C88A1A"/>
            </w:tcBorders>
          </w:tcPr>
          <w:p>
            <w:pPr>
              <w:spacing w:after="60"/>
            </w:pPr>
            <w:r>
              <w:rPr>
                <w:rFonts w:ascii="Calibri" w:hAnsi="Calibri"/>
                <w:b/>
                <w:color w:val="C88A1A"/>
                <w:sz w:val="21"/>
              </w:rPr>
              <w:t>Стеля безпеки для всього посібника</w:t>
            </w:r>
          </w:p>
          <w:p>
            <w:pPr>
              <w:spacing w:after="0"/>
            </w:pPr>
            <w:r>
              <w:rPr>
                <w:rFonts w:ascii="Calibri" w:hAnsi="Calibri"/>
                <w:i w:val="0"/>
                <w:color w:val="141B2E"/>
                <w:sz w:val="20"/>
              </w:rPr>
              <w:t>Усе нижче працює в режимі ADVISORY, над PLC/PID/SIS. Worker може рекомендувати обслуговування, обмежені трими уставок та енергетичні дії; він не повинен керувати. Записи виконавчих механізмів OPC UA лишаються заблокованими, доки офлайн-відтворення, тіньовий пілот, рекомендаційна підписка та обґрунтування безпеки майданчика не пройдено.</w:t>
            </w:r>
          </w:p>
        </w:tc>
      </w:tr>
    </w:tbl>
    <w:p>
      <w:pPr>
        <w:spacing w:after="0" w:before="0"/>
      </w:pPr>
      <w:r>
        <w:rPr>
          <w:sz w:val="12"/>
        </w:rPr>
      </w:r>
    </w:p>
    <w:p>
      <w:pPr>
        <w:keepNext/>
        <w:spacing w:before="320" w:after="40"/>
        <w:pBdr>
          <w:bottom w:val="single" w:sz="10" w:space="4" w:color="0E7C86"/>
        </w:pBdr>
      </w:pPr>
      <w:r>
        <w:rPr>
          <w:rFonts w:ascii="Calibri" w:hAnsi="Calibri"/>
          <w:b/>
          <w:color w:val="0E7C86"/>
          <w:sz w:val="34"/>
        </w:rPr>
        <w:t xml:space="preserve">2  </w:t>
      </w:r>
      <w:r>
        <w:rPr>
          <w:rFonts w:ascii="Calibri" w:hAnsi="Calibri"/>
          <w:b/>
          <w:color w:val="102A54"/>
          <w:sz w:val="34"/>
        </w:rPr>
        <w:t>Передумови — навчений пакет і середовище виконання</w:t>
      </w:r>
    </w:p>
    <w:p>
      <w:pPr>
        <w:pStyle w:val="ListBullet"/>
        <w:spacing w:after="60" w:line="269" w:lineRule="auto"/>
        <w:ind w:left="403"/>
      </w:pPr>
      <w:r>
        <w:rPr>
          <w:rFonts w:ascii="Calibri" w:hAnsi="Calibri"/>
          <w:b/>
          <w:i w:val="0"/>
          <w:color w:val="141B2E"/>
          <w:sz w:val="21"/>
        </w:rPr>
        <w:t>Навчена мережа</w:t>
      </w:r>
      <w:r>
        <w:rPr>
          <w:rFonts w:ascii="Calibri" w:hAnsi="Calibri"/>
          <w:i w:val="0"/>
          <w:color w:val="141B2E"/>
          <w:sz w:val="21"/>
        </w:rPr>
        <w:t xml:space="preserve"> з Посібника з навчання — тека артефактів із </w:t>
      </w:r>
      <w:r>
        <w:rPr>
          <w:rFonts w:ascii="Consolas" w:hAnsi="Consolas"/>
          <w:color w:val="102A54"/>
          <w:sz w:val="20"/>
        </w:rPr>
        <w:t>model-descriptor.json</w:t>
      </w:r>
      <w:r>
        <w:rPr>
          <w:rFonts w:ascii="Calibri" w:hAnsi="Calibri"/>
          <w:i w:val="0"/>
          <w:color w:val="141B2E"/>
          <w:sz w:val="21"/>
        </w:rPr>
        <w:t xml:space="preserve">, </w:t>
      </w:r>
      <w:r>
        <w:rPr>
          <w:rFonts w:ascii="Consolas" w:hAnsi="Consolas"/>
          <w:color w:val="102A54"/>
          <w:sz w:val="20"/>
        </w:rPr>
        <w:t>layer-0.json</w:t>
      </w:r>
      <w:r>
        <w:rPr>
          <w:rFonts w:ascii="Calibri" w:hAnsi="Calibri"/>
          <w:i w:val="0"/>
          <w:color w:val="141B2E"/>
          <w:sz w:val="21"/>
        </w:rPr>
        <w:t xml:space="preserve"> … </w:t>
      </w:r>
      <w:r>
        <w:rPr>
          <w:rFonts w:ascii="Consolas" w:hAnsi="Consolas"/>
          <w:color w:val="102A54"/>
          <w:sz w:val="20"/>
        </w:rPr>
        <w:t>result-layer.json</w:t>
      </w:r>
      <w:r>
        <w:rPr>
          <w:rFonts w:ascii="Calibri" w:hAnsi="Calibri"/>
          <w:i w:val="0"/>
          <w:color w:val="141B2E"/>
          <w:sz w:val="21"/>
        </w:rPr>
        <w:t xml:space="preserve">, </w:t>
      </w:r>
      <w:r>
        <w:rPr>
          <w:rFonts w:ascii="Consolas" w:hAnsi="Consolas"/>
          <w:color w:val="102A54"/>
          <w:sz w:val="20"/>
        </w:rPr>
        <w:t>trained-industrial-loop-guardian-model.json</w:t>
      </w:r>
      <w:r>
        <w:rPr>
          <w:rFonts w:ascii="Calibri" w:hAnsi="Calibri"/>
          <w:i w:val="0"/>
          <w:color w:val="141B2E"/>
          <w:sz w:val="21"/>
        </w:rPr>
        <w:t xml:space="preserve"> та </w:t>
      </w:r>
      <w:r>
        <w:rPr>
          <w:rFonts w:ascii="Consolas" w:hAnsi="Consolas"/>
          <w:color w:val="102A54"/>
          <w:sz w:val="20"/>
        </w:rPr>
        <w:t>production-context.json</w:t>
      </w:r>
      <w:r>
        <w:rPr>
          <w:rFonts w:ascii="Calibri" w:hAnsi="Calibri"/>
          <w:i w:val="0"/>
          <w:color w:val="141B2E"/>
          <w:sz w:val="21"/>
        </w:rPr>
        <w:t>.</w:t>
      </w:r>
    </w:p>
    <w:p>
      <w:pPr>
        <w:pStyle w:val="ListBullet"/>
        <w:spacing w:after="60" w:line="269" w:lineRule="auto"/>
        <w:ind w:left="403"/>
      </w:pPr>
      <w:r>
        <w:rPr>
          <w:rFonts w:ascii="Calibri" w:hAnsi="Calibri"/>
          <w:b/>
          <w:i w:val="0"/>
          <w:color w:val="141B2E"/>
          <w:sz w:val="21"/>
        </w:rPr>
        <w:t>Java 17+</w:t>
      </w:r>
      <w:r>
        <w:rPr>
          <w:rFonts w:ascii="Calibri" w:hAnsi="Calibri"/>
          <w:i w:val="0"/>
          <w:color w:val="141B2E"/>
          <w:sz w:val="21"/>
        </w:rPr>
        <w:t xml:space="preserve"> і зібраний worker (</w:t>
      </w:r>
      <w:r>
        <w:rPr>
          <w:rFonts w:ascii="Consolas" w:hAnsi="Consolas"/>
          <w:color w:val="102A54"/>
          <w:sz w:val="20"/>
        </w:rPr>
        <w:t>worker-jar-with-dependencies.jar</w:t>
      </w:r>
      <w:r>
        <w:rPr>
          <w:rFonts w:ascii="Calibri" w:hAnsi="Calibri"/>
          <w:i w:val="0"/>
          <w:color w:val="141B2E"/>
          <w:sz w:val="21"/>
        </w:rPr>
        <w:t>).</w:t>
      </w:r>
    </w:p>
    <w:p>
      <w:pPr>
        <w:pStyle w:val="ListBullet"/>
        <w:spacing w:after="60" w:line="269" w:lineRule="auto"/>
        <w:ind w:left="403"/>
      </w:pPr>
      <w:r>
        <w:rPr>
          <w:rFonts w:ascii="Calibri" w:hAnsi="Calibri"/>
          <w:b/>
          <w:i w:val="0"/>
          <w:color w:val="141B2E"/>
          <w:sz w:val="21"/>
        </w:rPr>
        <w:t>Ваша телеметрія заводу</w:t>
      </w:r>
      <w:r>
        <w:rPr>
          <w:rFonts w:ascii="Calibri" w:hAnsi="Calibri"/>
          <w:i w:val="0"/>
          <w:color w:val="141B2E"/>
          <w:sz w:val="21"/>
        </w:rPr>
        <w:t xml:space="preserve"> — теги процесів OPC UA, телеметрія IIoT MQTT і за бажанням тіньовий потік Kafka та контекст CMMS / лічильника енергії.</w:t>
      </w:r>
    </w:p>
    <w:p>
      <w:pPr>
        <w:pStyle w:val="ListBullet"/>
        <w:spacing w:after="60" w:line="269" w:lineRule="auto"/>
        <w:ind w:left="403"/>
      </w:pPr>
      <w:r>
        <w:rPr>
          <w:rFonts w:ascii="Calibri" w:hAnsi="Calibri"/>
          <w:b/>
          <w:i w:val="0"/>
          <w:color w:val="141B2E"/>
          <w:sz w:val="21"/>
        </w:rPr>
        <w:t>Призначення виводу</w:t>
      </w:r>
      <w:r>
        <w:rPr>
          <w:rFonts w:ascii="Calibri" w:hAnsi="Calibri"/>
          <w:i w:val="0"/>
          <w:color w:val="141B2E"/>
          <w:sz w:val="21"/>
        </w:rPr>
        <w:t xml:space="preserve"> — приймач JSONL для тіньового режиму або Kafka / SIEM / CMMS / вебхук для видимих оператору рекомендацій.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AF1F9"/>
          <w:left w:val="single" w:sz="4" w:space="0" w:color="EAF1F9"/>
          <w:bottom w:val="single" w:sz="4" w:space="0" w:color="EAF1F9"/>
          <w:right w:val="single" w:sz="4" w:space="0" w:color="EAF1F9"/>
          <w:insideH w:val="single" w:sz="4" w:space="0" w:color="EAF1F9"/>
          <w:insideV w:val="single" w:sz="4" w:space="0" w:color="EAF1F9"/>
        </w:tblBorders>
      </w:tblPr>
      <w:tblGrid>
        <w:gridCol w:w="9173"/>
      </w:tblGrid>
      <w:tr>
        <w:tc>
          <w:tcPr>
            <w:tcW w:type="dxa" w:w="9173"/>
            <w:shd w:val="clear" w:color="auto" w:fill="EAF1F9"/>
            <w:tcMar>
              <w:top w:w="120" w:type="dxa"/>
              <w:bottom w:w="120" w:type="dxa"/>
              <w:start w:w="160" w:type="dxa"/>
              <w:end w:w="160" w:type="dxa"/>
            </w:tcMar>
            <w:tcBorders>
              <w:left w:val="single" w:sz="24" w:space="0" w:color="1C5D99"/>
            </w:tcBorders>
          </w:tcPr>
          <w:p>
            <w:pPr>
              <w:spacing w:after="60"/>
            </w:pPr>
            <w:r>
              <w:rPr>
                <w:rFonts w:ascii="Calibri" w:hAnsi="Calibri"/>
                <w:b/>
                <w:color w:val="1C5D99"/>
                <w:sz w:val="21"/>
              </w:rPr>
              <w:t>Спершу навчання</w:t>
            </w:r>
          </w:p>
          <w:p>
            <w:pPr>
              <w:spacing w:after="0"/>
            </w:pPr>
            <w:r>
              <w:rPr>
                <w:rFonts w:ascii="Calibri" w:hAnsi="Calibri"/>
                <w:i w:val="0"/>
                <w:color w:val="141B2E"/>
                <w:sz w:val="20"/>
              </w:rPr>
              <w:t xml:space="preserve">Якщо у вас ще немає навченої мережі, виконайте супровідний Посібник з навчання. Розгортання споживає його вихідну теку напряму, включно з вбудованим </w:t>
            </w:r>
            <w:r>
              <w:rPr>
                <w:rFonts w:ascii="Consolas" w:hAnsi="Consolas"/>
                <w:color w:val="102A54"/>
                <w:sz w:val="19"/>
              </w:rPr>
              <w:t>production-context.json</w:t>
            </w:r>
            <w:r>
              <w:rPr>
                <w:rFonts w:ascii="Calibri" w:hAnsi="Calibri"/>
                <w:i w:val="0"/>
                <w:color w:val="141B2E"/>
                <w:sz w:val="20"/>
              </w:rPr>
              <w:t>.</w:t>
            </w:r>
          </w:p>
        </w:tc>
      </w:tr>
    </w:tbl>
    <w:p>
      <w:pPr>
        <w:spacing w:after="0" w:before="0"/>
      </w:pPr>
      <w:r>
        <w:rPr>
          <w:sz w:val="12"/>
        </w:rPr>
      </w:r>
    </w:p>
    <w:p>
      <w:pPr>
        <w:keepNext/>
        <w:spacing w:before="320" w:after="40"/>
        <w:pBdr>
          <w:bottom w:val="single" w:sz="10" w:space="4" w:color="0E7C86"/>
        </w:pBdr>
      </w:pPr>
      <w:r>
        <w:rPr>
          <w:rFonts w:ascii="Calibri" w:hAnsi="Calibri"/>
          <w:b/>
          <w:color w:val="0E7C86"/>
          <w:sz w:val="34"/>
        </w:rPr>
        <w:t xml:space="preserve">3  </w:t>
      </w:r>
      <w:r>
        <w:rPr>
          <w:rFonts w:ascii="Calibri" w:hAnsi="Calibri"/>
          <w:b/>
          <w:color w:val="102A54"/>
          <w:sz w:val="34"/>
        </w:rPr>
        <w:t>Архітектура запуску</w:t>
      </w:r>
    </w:p>
    <w:p>
      <w:pPr>
        <w:spacing w:after="120"/>
      </w:pPr>
      <w:r>
        <w:rPr>
          <w:rFonts w:ascii="Calibri" w:hAnsi="Calibri"/>
          <w:i w:val="0"/>
          <w:color w:val="141B2E"/>
          <w:sz w:val="21"/>
        </w:rPr>
        <w:t>Промислове розгортання використовує справжній вхідний пункт worker із чотирма аргументами: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173"/>
      </w:tblGrid>
      <w:tr>
        <w:tc>
          <w:tcPr>
            <w:tcW w:type="dxa" w:w="9173"/>
            <w:shd w:val="clear" w:color="auto" w:fill="0E1A2B"/>
            <w:tcMar>
              <w:top w:w="90" w:type="dxa"/>
              <w:bottom w:w="90" w:type="dxa"/>
              <w:start w:w="140" w:type="dxa"/>
              <w:end w:w="140" w:type="dxa"/>
            </w:tcMar>
          </w:tcPr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>java com.rakovpublic.jneuropallium.worker.application.Entry \</w:t>
            </w:r>
          </w:p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 xml:space="preserve">    &lt;mode&gt; &lt;model-jar-url&gt; &lt;context-class&gt; &lt;context-json-or-path&gt;</w:t>
            </w:r>
          </w:p>
        </w:tc>
      </w:tr>
    </w:tbl>
    <w:p>
      <w:pPr>
        <w:spacing w:after="0" w:before="0"/>
      </w:pPr>
      <w:r>
        <w:rPr>
          <w:sz w:val="8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DBE5"/>
          <w:left w:val="single" w:sz="4" w:space="0" w:color="D6DBE5"/>
          <w:bottom w:val="single" w:sz="4" w:space="0" w:color="D6DBE5"/>
          <w:right w:val="single" w:sz="4" w:space="0" w:color="D6DBE5"/>
          <w:insideH w:val="single" w:sz="4" w:space="0" w:color="D6DBE5"/>
          <w:insideV w:val="single" w:sz="4" w:space="0" w:color="D6DBE5"/>
        </w:tblBorders>
      </w:tblPr>
      <w:tblGrid>
        <w:gridCol w:w="3058"/>
        <w:gridCol w:w="3058"/>
        <w:gridCol w:w="3058"/>
      </w:tblGrid>
      <w:tr>
        <w:tc>
          <w:tcPr>
            <w:tcW w:type="dxa" w:w="2592"/>
            <w:shd w:val="clear" w:color="auto" w:fill="0E7C8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Аргумент</w:t>
            </w:r>
          </w:p>
        </w:tc>
        <w:tc>
          <w:tcPr>
            <w:tcW w:type="dxa" w:w="3600"/>
            <w:shd w:val="clear" w:color="auto" w:fill="0E7C8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Значення</w:t>
            </w:r>
          </w:p>
        </w:tc>
        <w:tc>
          <w:tcPr>
            <w:tcW w:type="dxa" w:w="3600"/>
            <w:shd w:val="clear" w:color="auto" w:fill="0E7C8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Приклад</w:t>
            </w:r>
          </w:p>
        </w:tc>
      </w:tr>
      <w:tr>
        <w:tc>
          <w:tcPr>
            <w:tcW w:type="dxa" w:w="2592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02A54"/>
                <w:sz w:val="18"/>
              </w:rPr>
              <w:t>mode</w:t>
            </w:r>
          </w:p>
        </w:tc>
        <w:tc>
          <w:tcPr>
            <w:tcW w:type="dxa" w:w="3600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Топологія розгортання</w:t>
            </w:r>
          </w:p>
        </w:tc>
        <w:tc>
          <w:tcPr>
            <w:tcW w:type="dxa" w:w="3600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02A54"/>
                <w:sz w:val="18"/>
              </w:rPr>
              <w:t>local</w:t>
            </w:r>
            <w:r>
              <w:rPr>
                <w:rFonts w:ascii="Calibri" w:hAnsi="Calibri"/>
                <w:i w:val="0"/>
                <w:color w:val="141B2E"/>
                <w:sz w:val="19"/>
              </w:rPr>
              <w:t xml:space="preserve">, </w:t>
            </w:r>
            <w:r>
              <w:rPr>
                <w:rFonts w:ascii="Consolas" w:hAnsi="Consolas"/>
                <w:color w:val="102A54"/>
                <w:sz w:val="18"/>
              </w:rPr>
              <w:t>http</w:t>
            </w:r>
            <w:r>
              <w:rPr>
                <w:rFonts w:ascii="Calibri" w:hAnsi="Calibri"/>
                <w:i w:val="0"/>
                <w:color w:val="141B2E"/>
                <w:sz w:val="19"/>
              </w:rPr>
              <w:t xml:space="preserve">, </w:t>
            </w:r>
            <w:r>
              <w:rPr>
                <w:rFonts w:ascii="Consolas" w:hAnsi="Consolas"/>
                <w:color w:val="102A54"/>
                <w:sz w:val="18"/>
              </w:rPr>
              <w:t>grpc-client</w:t>
            </w:r>
            <w:r>
              <w:rPr>
                <w:rFonts w:ascii="Calibri" w:hAnsi="Calibri"/>
                <w:i w:val="0"/>
                <w:color w:val="141B2E"/>
                <w:sz w:val="19"/>
              </w:rPr>
              <w:t xml:space="preserve">, </w:t>
            </w:r>
            <w:r>
              <w:rPr>
                <w:rFonts w:ascii="Consolas" w:hAnsi="Consolas"/>
                <w:color w:val="102A54"/>
                <w:sz w:val="18"/>
              </w:rPr>
              <w:t>grpc-master</w:t>
            </w:r>
          </w:p>
        </w:tc>
      </w:tr>
      <w:tr>
        <w:tc>
          <w:tcPr>
            <w:tcW w:type="dxa" w:w="2592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02A54"/>
                <w:sz w:val="18"/>
              </w:rPr>
              <w:t>model-jar-url</w:t>
            </w:r>
          </w:p>
        </w:tc>
        <w:tc>
          <w:tcPr>
            <w:tcW w:type="dxa" w:w="3600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URL вашого JAR для розгортання</w:t>
            </w:r>
          </w:p>
        </w:tc>
        <w:tc>
          <w:tcPr>
            <w:tcW w:type="dxa" w:w="3600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02A54"/>
                <w:sz w:val="18"/>
              </w:rPr>
              <w:t>file:///opt/jneopallium/industrial-loop-guardian.jar</w:t>
            </w:r>
          </w:p>
        </w:tc>
      </w:tr>
      <w:tr>
        <w:tc>
          <w:tcPr>
            <w:tcW w:type="dxa" w:w="2592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02A54"/>
                <w:sz w:val="18"/>
              </w:rPr>
              <w:t>context-class</w:t>
            </w:r>
          </w:p>
        </w:tc>
        <w:tc>
          <w:tcPr>
            <w:tcW w:type="dxa" w:w="3600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 xml:space="preserve">Реалізація </w:t>
            </w:r>
            <w:r>
              <w:rPr>
                <w:rFonts w:ascii="Consolas" w:hAnsi="Consolas"/>
                <w:color w:val="102A54"/>
                <w:sz w:val="18"/>
              </w:rPr>
              <w:t>IContext</w:t>
            </w:r>
          </w:p>
        </w:tc>
        <w:tc>
          <w:tcPr>
            <w:tcW w:type="dxa" w:w="3600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02A54"/>
                <w:sz w:val="18"/>
              </w:rPr>
              <w:t>…runtime.DemoJsonContext</w:t>
            </w:r>
          </w:p>
        </w:tc>
      </w:tr>
      <w:tr>
        <w:tc>
          <w:tcPr>
            <w:tcW w:type="dxa" w:w="2592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02A54"/>
                <w:sz w:val="18"/>
              </w:rPr>
              <w:t>context-json-or-path</w:t>
            </w:r>
          </w:p>
        </w:tc>
        <w:tc>
          <w:tcPr>
            <w:tcW w:type="dxa" w:w="3600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Вбудований JSON або шлях до файлу JSON</w:t>
            </w:r>
          </w:p>
        </w:tc>
        <w:tc>
          <w:tcPr>
            <w:tcW w:type="dxa" w:w="3600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02A54"/>
                <w:sz w:val="18"/>
              </w:rPr>
              <w:t>…/production-context.json</w:t>
            </w:r>
          </w:p>
        </w:tc>
      </w:tr>
    </w:tbl>
    <w:p>
      <w:pPr>
        <w:spacing w:after="0" w:before="0"/>
      </w:pPr>
      <w:r>
        <w:rPr>
          <w:sz w:val="12"/>
        </w:rPr>
      </w:r>
    </w:p>
    <w:p>
      <w:pPr>
        <w:spacing w:after="120"/>
      </w:pPr>
      <w:r>
        <w:rPr>
          <w:rFonts w:ascii="Consolas" w:hAnsi="Consolas"/>
          <w:color w:val="102A54"/>
          <w:sz w:val="20"/>
        </w:rPr>
        <w:t>Entry</w:t>
      </w:r>
      <w:r>
        <w:rPr>
          <w:rFonts w:ascii="Calibri" w:hAnsi="Calibri"/>
          <w:i w:val="0"/>
          <w:color w:val="141B2E"/>
          <w:sz w:val="21"/>
        </w:rPr>
        <w:t xml:space="preserve"> десеріалізує контекст класом контексту, завантажує JAR моделі в ізольований завантажувач класів, потім відображає </w:t>
      </w:r>
      <w:r>
        <w:rPr>
          <w:rFonts w:ascii="Consolas" w:hAnsi="Consolas"/>
          <w:color w:val="102A54"/>
          <w:sz w:val="20"/>
        </w:rPr>
        <w:t>local</w:t>
      </w:r>
      <w:r>
        <w:rPr>
          <w:rFonts w:ascii="Calibri" w:hAnsi="Calibri"/>
          <w:i w:val="0"/>
          <w:color w:val="141B2E"/>
          <w:sz w:val="21"/>
        </w:rPr>
        <w:t xml:space="preserve">, </w:t>
      </w:r>
      <w:r>
        <w:rPr>
          <w:rFonts w:ascii="Consolas" w:hAnsi="Consolas"/>
          <w:color w:val="102A54"/>
          <w:sz w:val="20"/>
        </w:rPr>
        <w:t>http</w:t>
      </w:r>
      <w:r>
        <w:rPr>
          <w:rFonts w:ascii="Calibri" w:hAnsi="Calibri"/>
          <w:i w:val="0"/>
          <w:color w:val="141B2E"/>
          <w:sz w:val="21"/>
        </w:rPr>
        <w:t xml:space="preserve"> чи </w:t>
      </w:r>
      <w:r>
        <w:rPr>
          <w:rFonts w:ascii="Consolas" w:hAnsi="Consolas"/>
          <w:color w:val="102A54"/>
          <w:sz w:val="20"/>
        </w:rPr>
        <w:t>grpc</w:t>
      </w:r>
      <w:r>
        <w:rPr>
          <w:rFonts w:ascii="Calibri" w:hAnsi="Calibri"/>
          <w:i w:val="0"/>
          <w:color w:val="141B2E"/>
          <w:sz w:val="21"/>
        </w:rPr>
        <w:t xml:space="preserve"> на </w:t>
      </w:r>
      <w:r>
        <w:rPr>
          <w:rFonts w:ascii="Consolas" w:hAnsi="Consolas"/>
          <w:color w:val="102A54"/>
          <w:sz w:val="20"/>
        </w:rPr>
        <w:t>LocalApplication</w:t>
      </w:r>
      <w:r>
        <w:rPr>
          <w:rFonts w:ascii="Calibri" w:hAnsi="Calibri"/>
          <w:i w:val="0"/>
          <w:color w:val="141B2E"/>
          <w:sz w:val="21"/>
        </w:rPr>
        <w:t xml:space="preserve">, </w:t>
      </w:r>
      <w:r>
        <w:rPr>
          <w:rFonts w:ascii="Consolas" w:hAnsi="Consolas"/>
          <w:color w:val="102A54"/>
          <w:sz w:val="20"/>
        </w:rPr>
        <w:t>HttpClusterApplication</w:t>
      </w:r>
      <w:r>
        <w:rPr>
          <w:rFonts w:ascii="Calibri" w:hAnsi="Calibri"/>
          <w:i w:val="0"/>
          <w:color w:val="141B2E"/>
          <w:sz w:val="21"/>
        </w:rPr>
        <w:t xml:space="preserve"> чи шлях сервера gRPC — ті самі топології, що в архітектурі.</w:t>
      </w:r>
    </w:p>
    <w:p>
      <w:pPr>
        <w:keepNext/>
        <w:spacing w:before="320" w:after="40"/>
        <w:pBdr>
          <w:bottom w:val="single" w:sz="10" w:space="4" w:color="0E7C86"/>
        </w:pBdr>
      </w:pPr>
      <w:r>
        <w:rPr>
          <w:rFonts w:ascii="Calibri" w:hAnsi="Calibri"/>
          <w:b/>
          <w:color w:val="0E7C86"/>
          <w:sz w:val="34"/>
        </w:rPr>
        <w:t xml:space="preserve">4  </w:t>
      </w:r>
      <w:r>
        <w:rPr>
          <w:rFonts w:ascii="Calibri" w:hAnsi="Calibri"/>
          <w:b/>
          <w:color w:val="102A54"/>
          <w:sz w:val="34"/>
        </w:rPr>
        <w:t>Готовий до розгортання пакет (що створило навчання)</w:t>
      </w:r>
    </w:p>
    <w:p>
      <w:pPr>
        <w:spacing w:after="120"/>
      </w:pPr>
      <w:r>
        <w:rPr>
          <w:rFonts w:ascii="Calibri" w:hAnsi="Calibri"/>
          <w:i w:val="0"/>
          <w:color w:val="141B2E"/>
          <w:sz w:val="21"/>
        </w:rPr>
        <w:t xml:space="preserve">Тренер видає </w:t>
      </w:r>
      <w:r>
        <w:rPr>
          <w:rFonts w:ascii="Calibri" w:hAnsi="Calibri"/>
          <w:b/>
          <w:i w:val="0"/>
          <w:color w:val="141B2E"/>
          <w:sz w:val="21"/>
        </w:rPr>
        <w:t>власне мережу JNeopallium</w:t>
      </w:r>
      <w:r>
        <w:rPr>
          <w:rFonts w:ascii="Calibri" w:hAnsi="Calibri"/>
          <w:i w:val="0"/>
          <w:color w:val="141B2E"/>
          <w:sz w:val="21"/>
        </w:rPr>
        <w:t>, а не абстрактну модель. П'ять файлів рівнів плюс опис — це те, з чого завантажується worker: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DBE5"/>
          <w:left w:val="single" w:sz="4" w:space="0" w:color="D6DBE5"/>
          <w:bottom w:val="single" w:sz="4" w:space="0" w:color="D6DBE5"/>
          <w:right w:val="single" w:sz="4" w:space="0" w:color="D6DBE5"/>
          <w:insideH w:val="single" w:sz="4" w:space="0" w:color="D6DBE5"/>
          <w:insideV w:val="single" w:sz="4" w:space="0" w:color="D6DBE5"/>
        </w:tblBorders>
      </w:tblPr>
      <w:tblGrid>
        <w:gridCol w:w="4586"/>
        <w:gridCol w:w="4586"/>
      </w:tblGrid>
      <w:tr>
        <w:tc>
          <w:tcPr>
            <w:tcW w:type="dxa" w:w="4608"/>
            <w:shd w:val="clear" w:color="auto" w:fill="0E7C8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Артефакт</w:t>
            </w:r>
          </w:p>
        </w:tc>
        <w:tc>
          <w:tcPr>
            <w:tcW w:type="dxa" w:w="5184"/>
            <w:shd w:val="clear" w:color="auto" w:fill="0E7C8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Роль під час розгортання</w:t>
            </w:r>
          </w:p>
        </w:tc>
      </w:tr>
      <w:tr>
        <w:tc>
          <w:tcPr>
            <w:tcW w:type="dxa" w:w="4608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02A54"/>
                <w:sz w:val="18"/>
              </w:rPr>
              <w:t>model-descriptor.json</w:t>
            </w:r>
          </w:p>
        </w:tc>
        <w:tc>
          <w:tcPr>
            <w:tcW w:type="dxa" w:w="5184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Карта всієї мережі: 5 рівнів, 17 нейронів, мапа частот, класи часу виконання</w:t>
            </w:r>
          </w:p>
        </w:tc>
      </w:tr>
      <w:tr>
        <w:tc>
          <w:tcPr>
            <w:tcW w:type="dxa" w:w="4608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02A54"/>
                <w:sz w:val="18"/>
              </w:rPr>
              <w:t>layer-0.json</w:t>
            </w:r>
          </w:p>
        </w:tc>
        <w:tc>
          <w:tcPr>
            <w:tcW w:type="dxa" w:w="5184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Межа входу заводу + наглядового контексту</w:t>
            </w:r>
          </w:p>
        </w:tc>
      </w:tr>
      <w:tr>
        <w:tc>
          <w:tcPr>
            <w:tcW w:type="dxa" w:w="4608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02A54"/>
                <w:sz w:val="18"/>
              </w:rPr>
              <w:t>layer-1-fast-telemetry.json</w:t>
            </w:r>
          </w:p>
        </w:tc>
        <w:tc>
          <w:tcPr>
            <w:tcW w:type="dxa" w:w="5184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Валідація швидкої телеметрії і стан контуру (7 нейронів)</w:t>
            </w:r>
          </w:p>
        </w:tc>
      </w:tr>
      <w:tr>
        <w:tc>
          <w:tcPr>
            <w:tcW w:type="dxa" w:w="4608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02A54"/>
                <w:sz w:val="18"/>
              </w:rPr>
              <w:t>layer-2-maintenance-energy.json</w:t>
            </w:r>
          </w:p>
        </w:tc>
        <w:tc>
          <w:tcPr>
            <w:tcW w:type="dxa" w:w="5184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Чотири навчені діагностичні голови висновків</w:t>
            </w:r>
          </w:p>
        </w:tc>
      </w:tr>
      <w:tr>
        <w:tc>
          <w:tcPr>
            <w:tcW w:type="dxa" w:w="4608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02A54"/>
                <w:sz w:val="18"/>
              </w:rPr>
              <w:t>layer-3-advisory-planning.json</w:t>
            </w:r>
          </w:p>
        </w:tc>
        <w:tc>
          <w:tcPr>
            <w:tcW w:type="dxa" w:w="5184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Економічне планування + фіксований запобіжник (4 нейрони)</w:t>
            </w:r>
          </w:p>
        </w:tc>
      </w:tr>
      <w:tr>
        <w:tc>
          <w:tcPr>
            <w:tcW w:type="dxa" w:w="4608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02A54"/>
                <w:sz w:val="18"/>
              </w:rPr>
              <w:t>result-layer.json</w:t>
            </w:r>
          </w:p>
        </w:tc>
        <w:tc>
          <w:tcPr>
            <w:tcW w:type="dxa" w:w="5184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Вивід промислових рекомендацій JSONL (2 нейрони)</w:t>
            </w:r>
          </w:p>
        </w:tc>
      </w:tr>
      <w:tr>
        <w:tc>
          <w:tcPr>
            <w:tcW w:type="dxa" w:w="4608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02A54"/>
                <w:sz w:val="18"/>
              </w:rPr>
              <w:t>production-context.json</w:t>
            </w:r>
          </w:p>
        </w:tc>
        <w:tc>
          <w:tcPr>
            <w:tcW w:type="dxa" w:w="5184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Готовий контекст рекомендаційного worker</w:t>
            </w:r>
          </w:p>
        </w:tc>
      </w:tr>
    </w:tbl>
    <w:p>
      <w:pPr>
        <w:spacing w:after="0" w:before="0"/>
      </w:pPr>
      <w:r>
        <w:rPr>
          <w:sz w:val="12"/>
        </w:rPr>
      </w:r>
    </w:p>
    <w:p>
      <w:pPr>
        <w:spacing w:after="120"/>
      </w:pPr>
      <w:r>
        <w:rPr>
          <w:rFonts w:ascii="Calibri" w:hAnsi="Calibri"/>
          <w:i w:val="0"/>
          <w:color w:val="141B2E"/>
          <w:sz w:val="21"/>
        </w:rPr>
        <w:t xml:space="preserve">Уся мережа: </w:t>
      </w:r>
      <w:r>
        <w:rPr>
          <w:rFonts w:ascii="Calibri" w:hAnsi="Calibri"/>
          <w:b/>
          <w:i w:val="0"/>
          <w:color w:val="141B2E"/>
          <w:sz w:val="21"/>
        </w:rPr>
        <w:t>5 рівнів, 17 справжніх нейронів, 156 навчуваних ваг, 4 зсуви</w:t>
      </w:r>
      <w:r>
        <w:rPr>
          <w:rFonts w:ascii="Calibri" w:hAnsi="Calibri"/>
          <w:i w:val="0"/>
          <w:color w:val="141B2E"/>
          <w:sz w:val="21"/>
        </w:rPr>
        <w:t>. Кожен нейрон називає конкретний клас із промислового пакета worker — розгортання спрямовує worker на цю теку, а не реалізує щось наново.</w:t>
      </w:r>
    </w:p>
    <w:p>
      <w:pPr>
        <w:keepNext/>
        <w:spacing w:before="320" w:after="40"/>
        <w:pBdr>
          <w:bottom w:val="single" w:sz="10" w:space="4" w:color="0E7C86"/>
        </w:pBdr>
      </w:pPr>
      <w:r>
        <w:rPr>
          <w:rFonts w:ascii="Calibri" w:hAnsi="Calibri"/>
          <w:b/>
          <w:color w:val="0E7C86"/>
          <w:sz w:val="34"/>
        </w:rPr>
        <w:t xml:space="preserve">5  </w:t>
      </w:r>
      <w:r>
        <w:rPr>
          <w:rFonts w:ascii="Calibri" w:hAnsi="Calibri"/>
          <w:b/>
          <w:color w:val="102A54"/>
          <w:sz w:val="34"/>
        </w:rPr>
        <w:t>Спрямуйте worker на згенеровану структуру нейромережі</w:t>
      </w:r>
    </w:p>
    <w:p>
      <w:pPr>
        <w:spacing w:after="120"/>
      </w:pPr>
      <w:r>
        <w:rPr>
          <w:rFonts w:ascii="Calibri" w:hAnsi="Calibri"/>
          <w:i w:val="0"/>
          <w:color w:val="141B2E"/>
          <w:sz w:val="21"/>
        </w:rPr>
        <w:t xml:space="preserve">Структуру нейромережі </w:t>
      </w:r>
      <w:r>
        <w:rPr>
          <w:rFonts w:ascii="Calibri" w:hAnsi="Calibri"/>
          <w:b/>
          <w:i w:val="0"/>
          <w:color w:val="141B2E"/>
          <w:sz w:val="21"/>
        </w:rPr>
        <w:t>генерує навчання</w:t>
      </w:r>
      <w:r>
        <w:rPr>
          <w:rFonts w:ascii="Calibri" w:hAnsi="Calibri"/>
          <w:i w:val="0"/>
          <w:color w:val="141B2E"/>
          <w:sz w:val="21"/>
        </w:rPr>
        <w:t xml:space="preserve">, а не пишуть вручну. </w:t>
      </w:r>
      <w:r>
        <w:rPr>
          <w:rFonts w:ascii="Consolas" w:hAnsi="Consolas"/>
          <w:color w:val="102A54"/>
          <w:sz w:val="20"/>
        </w:rPr>
        <w:t>configuration.input.layermeta</w:t>
      </w:r>
      <w:r>
        <w:rPr>
          <w:rFonts w:ascii="Calibri" w:hAnsi="Calibri"/>
          <w:i w:val="0"/>
          <w:color w:val="141B2E"/>
          <w:sz w:val="21"/>
        </w:rPr>
        <w:t xml:space="preserve"> (заданий у </w:t>
      </w:r>
      <w:r>
        <w:rPr>
          <w:rFonts w:ascii="Consolas" w:hAnsi="Consolas"/>
          <w:color w:val="102A54"/>
          <w:sz w:val="20"/>
        </w:rPr>
        <w:t>production-context.json</w:t>
      </w:r>
      <w:r>
        <w:rPr>
          <w:rFonts w:ascii="Calibri" w:hAnsi="Calibri"/>
          <w:i w:val="0"/>
          <w:color w:val="141B2E"/>
          <w:sz w:val="21"/>
        </w:rPr>
        <w:t xml:space="preserve"> як </w:t>
      </w:r>
      <w:r>
        <w:rPr>
          <w:rFonts w:ascii="Consolas" w:hAnsi="Consolas"/>
          <w:color w:val="102A54"/>
          <w:sz w:val="20"/>
        </w:rPr>
        <w:t>model/industrial-loop-guardian/</w:t>
      </w:r>
      <w:r>
        <w:rPr>
          <w:rFonts w:ascii="Calibri" w:hAnsi="Calibri"/>
          <w:i w:val="0"/>
          <w:color w:val="141B2E"/>
          <w:sz w:val="21"/>
        </w:rPr>
        <w:t>) вказує на теку з п'ятьма файлами рівнів, і worker завантажує мережу напряму. Кожен файл — справжній рівень справжніх нейронів: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DBE5"/>
          <w:left w:val="single" w:sz="4" w:space="0" w:color="D6DBE5"/>
          <w:bottom w:val="single" w:sz="4" w:space="0" w:color="D6DBE5"/>
          <w:right w:val="single" w:sz="4" w:space="0" w:color="D6DBE5"/>
          <w:insideH w:val="single" w:sz="4" w:space="0" w:color="D6DBE5"/>
          <w:insideV w:val="single" w:sz="4" w:space="0" w:color="D6DBE5"/>
        </w:tblBorders>
      </w:tblPr>
      <w:tblGrid>
        <w:gridCol w:w="4586"/>
        <w:gridCol w:w="4586"/>
      </w:tblGrid>
      <w:tr>
        <w:tc>
          <w:tcPr>
            <w:tcW w:type="dxa" w:w="3744"/>
            <w:shd w:val="clear" w:color="auto" w:fill="0E7C8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Файл рівня</w:t>
            </w:r>
          </w:p>
        </w:tc>
        <w:tc>
          <w:tcPr>
            <w:tcW w:type="dxa" w:w="6048"/>
            <w:shd w:val="clear" w:color="auto" w:fill="0E7C8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Справжні класи нейронів / роль</w:t>
            </w:r>
          </w:p>
        </w:tc>
      </w:tr>
      <w:tr>
        <w:tc>
          <w:tcPr>
            <w:tcW w:type="dxa" w:w="3744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02A54"/>
                <w:sz w:val="18"/>
              </w:rPr>
              <w:t>layer-1-fast-telemetry.json</w:t>
            </w:r>
          </w:p>
        </w:tc>
        <w:tc>
          <w:tcPr>
            <w:tcW w:type="dxa" w:w="6048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02A54"/>
                <w:sz w:val="18"/>
              </w:rPr>
              <w:t>SensorNeuron</w:t>
            </w:r>
            <w:r>
              <w:rPr>
                <w:rFonts w:ascii="Calibri" w:hAnsi="Calibri"/>
                <w:i w:val="0"/>
                <w:color w:val="141B2E"/>
                <w:sz w:val="19"/>
              </w:rPr>
              <w:t xml:space="preserve">, </w:t>
            </w:r>
            <w:r>
              <w:rPr>
                <w:rFonts w:ascii="Consolas" w:hAnsi="Consolas"/>
                <w:color w:val="102A54"/>
                <w:sz w:val="18"/>
              </w:rPr>
              <w:t>MeasurementValidatorNeuron</w:t>
            </w:r>
            <w:r>
              <w:rPr>
                <w:rFonts w:ascii="Calibri" w:hAnsi="Calibri"/>
                <w:i w:val="0"/>
                <w:color w:val="141B2E"/>
                <w:sz w:val="19"/>
              </w:rPr>
              <w:t xml:space="preserve">, </w:t>
            </w:r>
            <w:r>
              <w:rPr>
                <w:rFonts w:ascii="Consolas" w:hAnsi="Consolas"/>
                <w:color w:val="102A54"/>
                <w:sz w:val="18"/>
              </w:rPr>
              <w:t>OscillationMonitorNeuron</w:t>
            </w:r>
            <w:r>
              <w:rPr>
                <w:rFonts w:ascii="Calibri" w:hAnsi="Calibri"/>
                <w:i w:val="0"/>
                <w:color w:val="141B2E"/>
                <w:sz w:val="19"/>
              </w:rPr>
              <w:t>, …</w:t>
            </w:r>
          </w:p>
        </w:tc>
      </w:tr>
      <w:tr>
        <w:tc>
          <w:tcPr>
            <w:tcW w:type="dxa" w:w="3744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02A54"/>
                <w:sz w:val="18"/>
              </w:rPr>
              <w:t>layer-2-maintenance-energy.json</w:t>
            </w:r>
          </w:p>
        </w:tc>
        <w:tc>
          <w:tcPr>
            <w:tcW w:type="dxa" w:w="6048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02A54"/>
                <w:sz w:val="18"/>
              </w:rPr>
              <w:t>DegradationModelNeuron</w:t>
            </w:r>
            <w:r>
              <w:rPr>
                <w:rFonts w:ascii="Calibri" w:hAnsi="Calibri"/>
                <w:i w:val="0"/>
                <w:color w:val="141B2E"/>
                <w:sz w:val="19"/>
              </w:rPr>
              <w:t xml:space="preserve">, </w:t>
            </w:r>
            <w:r>
              <w:rPr>
                <w:rFonts w:ascii="Consolas" w:hAnsi="Consolas"/>
                <w:color w:val="102A54"/>
                <w:sz w:val="18"/>
              </w:rPr>
              <w:t>EnergyAccountingNeuron</w:t>
            </w:r>
            <w:r>
              <w:rPr>
                <w:rFonts w:ascii="Calibri" w:hAnsi="Calibri"/>
                <w:i w:val="0"/>
                <w:color w:val="141B2E"/>
                <w:sz w:val="19"/>
              </w:rPr>
              <w:t xml:space="preserve"> — чотири голови</w:t>
            </w:r>
          </w:p>
        </w:tc>
      </w:tr>
      <w:tr>
        <w:tc>
          <w:tcPr>
            <w:tcW w:type="dxa" w:w="3744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02A54"/>
                <w:sz w:val="18"/>
              </w:rPr>
              <w:t>layer-3-advisory-planning.json</w:t>
            </w:r>
          </w:p>
        </w:tc>
        <w:tc>
          <w:tcPr>
            <w:tcW w:type="dxa" w:w="6048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02A54"/>
                <w:sz w:val="18"/>
              </w:rPr>
              <w:t>MaintenanceSchedulingNeuron</w:t>
            </w:r>
            <w:r>
              <w:rPr>
                <w:rFonts w:ascii="Calibri" w:hAnsi="Calibri"/>
                <w:i w:val="0"/>
                <w:color w:val="141B2E"/>
                <w:sz w:val="19"/>
              </w:rPr>
              <w:t xml:space="preserve">, </w:t>
            </w:r>
            <w:r>
              <w:rPr>
                <w:rFonts w:ascii="Consolas" w:hAnsi="Consolas"/>
                <w:color w:val="102A54"/>
                <w:sz w:val="18"/>
              </w:rPr>
              <w:t>SetpointOptimiserNeuron</w:t>
            </w:r>
            <w:r>
              <w:rPr>
                <w:rFonts w:ascii="Calibri" w:hAnsi="Calibri"/>
                <w:i w:val="0"/>
                <w:color w:val="141B2E"/>
                <w:sz w:val="19"/>
              </w:rPr>
              <w:t xml:space="preserve">, </w:t>
            </w:r>
            <w:r>
              <w:rPr>
                <w:rFonts w:ascii="Consolas" w:hAnsi="Consolas"/>
                <w:color w:val="102A54"/>
                <w:sz w:val="18"/>
              </w:rPr>
              <w:t>SafetyGateNeuron</w:t>
            </w:r>
          </w:p>
        </w:tc>
      </w:tr>
      <w:tr>
        <w:tc>
          <w:tcPr>
            <w:tcW w:type="dxa" w:w="3744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02A54"/>
                <w:sz w:val="18"/>
              </w:rPr>
              <w:t>result-layer.json</w:t>
            </w:r>
          </w:p>
        </w:tc>
        <w:tc>
          <w:tcPr>
            <w:tcW w:type="dxa" w:w="6048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Нейрони виводу рекомендаційного JSONL</w:t>
            </w:r>
          </w:p>
        </w:tc>
      </w:tr>
    </w:tbl>
    <w:p>
      <w:pPr>
        <w:spacing w:after="0" w:before="0"/>
      </w:pPr>
      <w:r>
        <w:rPr>
          <w:sz w:val="12"/>
        </w:rPr>
      </w:r>
    </w:p>
    <w:p>
      <w:pPr>
        <w:spacing w:after="120"/>
      </w:pPr>
      <w:r>
        <w:rPr>
          <w:rFonts w:ascii="Calibri" w:hAnsi="Calibri"/>
          <w:i w:val="0"/>
          <w:color w:val="141B2E"/>
          <w:sz w:val="21"/>
        </w:rPr>
        <w:t xml:space="preserve">Діагностичні голови вбудовують усе, що вивчила модель, готове до запуску — навчені ваги, дозволений кожній </w:t>
      </w:r>
      <w:r>
        <w:rPr>
          <w:rFonts w:ascii="Consolas" w:hAnsi="Consolas"/>
          <w:color w:val="102A54"/>
          <w:sz w:val="20"/>
        </w:rPr>
        <w:t>featureGate</w:t>
      </w:r>
      <w:r>
        <w:rPr>
          <w:rFonts w:ascii="Calibri" w:hAnsi="Calibri"/>
          <w:i w:val="0"/>
          <w:color w:val="141B2E"/>
          <w:sz w:val="21"/>
        </w:rPr>
        <w:t xml:space="preserve">, її </w:t>
      </w:r>
      <w:r>
        <w:rPr>
          <w:rFonts w:ascii="Consolas" w:hAnsi="Consolas"/>
          <w:color w:val="102A54"/>
          <w:sz w:val="20"/>
        </w:rPr>
        <w:t>logicalNeuronRole</w:t>
      </w:r>
      <w:r>
        <w:rPr>
          <w:rFonts w:ascii="Calibri" w:hAnsi="Calibri"/>
          <w:i w:val="0"/>
          <w:color w:val="141B2E"/>
          <w:sz w:val="21"/>
        </w:rPr>
        <w:t xml:space="preserve"> та </w:t>
      </w:r>
      <w:r>
        <w:rPr>
          <w:rFonts w:ascii="Consolas" w:hAnsi="Consolas"/>
          <w:color w:val="102A54"/>
          <w:sz w:val="20"/>
        </w:rPr>
        <w:t>ownedReasoning</w:t>
      </w:r>
      <w:r>
        <w:rPr>
          <w:rFonts w:ascii="Calibri" w:hAnsi="Calibri"/>
          <w:i w:val="0"/>
          <w:color w:val="141B2E"/>
          <w:sz w:val="21"/>
        </w:rPr>
        <w:t xml:space="preserve"> — тож рецензент підтверджує, що логіка живе всередині моделі, а не в сполучному коді.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8F3EC"/>
          <w:left w:val="single" w:sz="4" w:space="0" w:color="E8F3EC"/>
          <w:bottom w:val="single" w:sz="4" w:space="0" w:color="E8F3EC"/>
          <w:right w:val="single" w:sz="4" w:space="0" w:color="E8F3EC"/>
          <w:insideH w:val="single" w:sz="4" w:space="0" w:color="E8F3EC"/>
          <w:insideV w:val="single" w:sz="4" w:space="0" w:color="E8F3EC"/>
        </w:tblBorders>
      </w:tblPr>
      <w:tblGrid>
        <w:gridCol w:w="9173"/>
      </w:tblGrid>
      <w:tr>
        <w:tc>
          <w:tcPr>
            <w:tcW w:type="dxa" w:w="9173"/>
            <w:shd w:val="clear" w:color="auto" w:fill="E8F3EC"/>
            <w:tcMar>
              <w:top w:w="120" w:type="dxa"/>
              <w:bottom w:w="120" w:type="dxa"/>
              <w:start w:w="160" w:type="dxa"/>
              <w:end w:w="160" w:type="dxa"/>
            </w:tcMar>
            <w:tcBorders>
              <w:left w:val="single" w:sz="24" w:space="0" w:color="1F7A3D"/>
            </w:tcBorders>
          </w:tcPr>
          <w:p>
            <w:pPr>
              <w:spacing w:after="60"/>
            </w:pPr>
            <w:r>
              <w:rPr>
                <w:rFonts w:ascii="Calibri" w:hAnsi="Calibri"/>
                <w:b/>
                <w:color w:val="1F7A3D"/>
                <w:sz w:val="21"/>
              </w:rPr>
              <w:t>Без кроку перекладу</w:t>
            </w:r>
          </w:p>
          <w:p>
            <w:pPr>
              <w:spacing w:after="0"/>
            </w:pPr>
            <w:r>
              <w:rPr>
                <w:rFonts w:ascii="Calibri" w:hAnsi="Calibri"/>
                <w:i w:val="0"/>
                <w:color w:val="141B2E"/>
                <w:sz w:val="20"/>
              </w:rPr>
              <w:t>Оскільки структуру згенеровано з уже вбудованими навченими головами, те, що ви розгортаєте, — це саме те, що навчили й протестували: ті самі ваги, ті самі фільтри ознак, ті самі смуги відповіді, той самий фіксований запобіжник.</w:t>
            </w:r>
          </w:p>
        </w:tc>
      </w:tr>
    </w:tbl>
    <w:p>
      <w:pPr>
        <w:spacing w:after="0" w:before="0"/>
      </w:pPr>
      <w:r>
        <w:rPr>
          <w:sz w:val="12"/>
        </w:rPr>
      </w:r>
    </w:p>
    <w:p>
      <w:pPr>
        <w:keepNext/>
        <w:spacing w:before="320" w:after="40"/>
        <w:pBdr>
          <w:bottom w:val="single" w:sz="10" w:space="4" w:color="0E7C86"/>
        </w:pBdr>
      </w:pPr>
      <w:r>
        <w:rPr>
          <w:rFonts w:ascii="Calibri" w:hAnsi="Calibri"/>
          <w:b/>
          <w:color w:val="0E7C86"/>
          <w:sz w:val="34"/>
        </w:rPr>
        <w:t xml:space="preserve">6  </w:t>
      </w:r>
      <w:r>
        <w:rPr>
          <w:rFonts w:ascii="Calibri" w:hAnsi="Calibri"/>
          <w:b/>
          <w:color w:val="102A54"/>
          <w:sz w:val="34"/>
        </w:rPr>
        <w:t>Спакуйте JAR для розгортання</w:t>
      </w:r>
    </w:p>
    <w:p>
      <w:pPr>
        <w:spacing w:after="120"/>
      </w:pPr>
      <w:r>
        <w:rPr>
          <w:rFonts w:ascii="Calibri" w:hAnsi="Calibri"/>
          <w:i w:val="0"/>
          <w:color w:val="141B2E"/>
          <w:sz w:val="21"/>
        </w:rPr>
        <w:t xml:space="preserve">Класи нейронів, процесорів і сигналів, на які посилається структура, </w:t>
      </w:r>
      <w:r>
        <w:rPr>
          <w:rFonts w:ascii="Calibri" w:hAnsi="Calibri"/>
          <w:b/>
          <w:i w:val="0"/>
          <w:color w:val="141B2E"/>
          <w:sz w:val="21"/>
        </w:rPr>
        <w:t>вже постачаються в промисловому модулі worker</w:t>
      </w:r>
      <w:r>
        <w:rPr>
          <w:rFonts w:ascii="Calibri" w:hAnsi="Calibri"/>
          <w:i w:val="0"/>
          <w:color w:val="141B2E"/>
          <w:sz w:val="21"/>
        </w:rPr>
        <w:t>, тож ви їх не реалізуєте наново. Спакуйте для розгортання: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DBE5"/>
          <w:left w:val="single" w:sz="4" w:space="0" w:color="D6DBE5"/>
          <w:bottom w:val="single" w:sz="4" w:space="0" w:color="D6DBE5"/>
          <w:right w:val="single" w:sz="4" w:space="0" w:color="D6DBE5"/>
          <w:insideH w:val="single" w:sz="4" w:space="0" w:color="D6DBE5"/>
          <w:insideV w:val="single" w:sz="4" w:space="0" w:color="D6DBE5"/>
        </w:tblBorders>
      </w:tblPr>
      <w:tblGrid>
        <w:gridCol w:w="4586"/>
        <w:gridCol w:w="4586"/>
      </w:tblGrid>
      <w:tr>
        <w:tc>
          <w:tcPr>
            <w:tcW w:type="dxa" w:w="2304"/>
            <w:shd w:val="clear" w:color="auto" w:fill="0E7C8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Компонент</w:t>
            </w:r>
          </w:p>
        </w:tc>
        <w:tc>
          <w:tcPr>
            <w:tcW w:type="dxa" w:w="7488"/>
            <w:shd w:val="clear" w:color="auto" w:fill="0E7C8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Вміст</w:t>
            </w:r>
          </w:p>
        </w:tc>
      </w:tr>
      <w:tr>
        <w:tc>
          <w:tcPr>
            <w:tcW w:type="dxa" w:w="2304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Типізовані сигнали</w:t>
            </w:r>
          </w:p>
        </w:tc>
        <w:tc>
          <w:tcPr>
            <w:tcW w:type="dxa" w:w="7488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02A54"/>
                <w:sz w:val="18"/>
              </w:rPr>
              <w:t>MeasurementSignal</w:t>
            </w:r>
            <w:r>
              <w:rPr>
                <w:rFonts w:ascii="Calibri" w:hAnsi="Calibri"/>
                <w:i w:val="0"/>
                <w:color w:val="141B2E"/>
                <w:sz w:val="19"/>
              </w:rPr>
              <w:t xml:space="preserve">, </w:t>
            </w:r>
            <w:r>
              <w:rPr>
                <w:rFonts w:ascii="Consolas" w:hAnsi="Consolas"/>
                <w:color w:val="102A54"/>
                <w:sz w:val="18"/>
              </w:rPr>
              <w:t>AlarmSignal</w:t>
            </w:r>
            <w:r>
              <w:rPr>
                <w:rFonts w:ascii="Calibri" w:hAnsi="Calibri"/>
                <w:i w:val="0"/>
                <w:color w:val="141B2E"/>
                <w:sz w:val="19"/>
              </w:rPr>
              <w:t xml:space="preserve">, </w:t>
            </w:r>
            <w:r>
              <w:rPr>
                <w:rFonts w:ascii="Consolas" w:hAnsi="Consolas"/>
                <w:color w:val="102A54"/>
                <w:sz w:val="18"/>
              </w:rPr>
              <w:t>DegradationSignal</w:t>
            </w:r>
            <w:r>
              <w:rPr>
                <w:rFonts w:ascii="Calibri" w:hAnsi="Calibri"/>
                <w:i w:val="0"/>
                <w:color w:val="141B2E"/>
                <w:sz w:val="19"/>
              </w:rPr>
              <w:t xml:space="preserve">, </w:t>
            </w:r>
            <w:r>
              <w:rPr>
                <w:rFonts w:ascii="Consolas" w:hAnsi="Consolas"/>
                <w:color w:val="102A54"/>
                <w:sz w:val="18"/>
              </w:rPr>
              <w:t>EfficiencySignal</w:t>
            </w:r>
            <w:r>
              <w:rPr>
                <w:rFonts w:ascii="Calibri" w:hAnsi="Calibri"/>
                <w:i w:val="0"/>
                <w:color w:val="141B2E"/>
                <w:sz w:val="19"/>
              </w:rPr>
              <w:t xml:space="preserve">, </w:t>
            </w:r>
            <w:r>
              <w:rPr>
                <w:rFonts w:ascii="Consolas" w:hAnsi="Consolas"/>
                <w:color w:val="102A54"/>
                <w:sz w:val="18"/>
              </w:rPr>
              <w:t>MaintenanceWindowSignal</w:t>
            </w:r>
            <w:r>
              <w:rPr>
                <w:rFonts w:ascii="Calibri" w:hAnsi="Calibri"/>
                <w:i w:val="0"/>
                <w:color w:val="141B2E"/>
                <w:sz w:val="19"/>
              </w:rPr>
              <w:t xml:space="preserve">, </w:t>
            </w:r>
            <w:r>
              <w:rPr>
                <w:rFonts w:ascii="Consolas" w:hAnsi="Consolas"/>
                <w:color w:val="102A54"/>
                <w:sz w:val="18"/>
              </w:rPr>
              <w:t>SetpointSignal</w:t>
            </w:r>
            <w:r>
              <w:rPr>
                <w:rFonts w:ascii="Calibri" w:hAnsi="Calibri"/>
                <w:i w:val="0"/>
                <w:color w:val="141B2E"/>
                <w:sz w:val="19"/>
              </w:rPr>
              <w:t xml:space="preserve">, </w:t>
            </w:r>
            <w:r>
              <w:rPr>
                <w:rFonts w:ascii="Consolas" w:hAnsi="Consolas"/>
                <w:color w:val="102A54"/>
                <w:sz w:val="18"/>
              </w:rPr>
              <w:t>InterlockSignal</w:t>
            </w:r>
          </w:p>
        </w:tc>
      </w:tr>
      <w:tr>
        <w:tc>
          <w:tcPr>
            <w:tcW w:type="dxa" w:w="2304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Нейрони</w:t>
            </w:r>
          </w:p>
        </w:tc>
        <w:tc>
          <w:tcPr>
            <w:tcW w:type="dxa" w:w="7488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02A54"/>
                <w:sz w:val="18"/>
              </w:rPr>
              <w:t>SensorNeuron</w:t>
            </w:r>
            <w:r>
              <w:rPr>
                <w:rFonts w:ascii="Calibri" w:hAnsi="Calibri"/>
                <w:i w:val="0"/>
                <w:color w:val="141B2E"/>
                <w:sz w:val="19"/>
              </w:rPr>
              <w:t xml:space="preserve">, </w:t>
            </w:r>
            <w:r>
              <w:rPr>
                <w:rFonts w:ascii="Consolas" w:hAnsi="Consolas"/>
                <w:color w:val="102A54"/>
                <w:sz w:val="18"/>
              </w:rPr>
              <w:t>MeasurementValidatorNeuron</w:t>
            </w:r>
            <w:r>
              <w:rPr>
                <w:rFonts w:ascii="Calibri" w:hAnsi="Calibri"/>
                <w:i w:val="0"/>
                <w:color w:val="141B2E"/>
                <w:sz w:val="19"/>
              </w:rPr>
              <w:t xml:space="preserve">, </w:t>
            </w:r>
            <w:r>
              <w:rPr>
                <w:rFonts w:ascii="Consolas" w:hAnsi="Consolas"/>
                <w:color w:val="102A54"/>
                <w:sz w:val="18"/>
              </w:rPr>
              <w:t>OscillationMonitorNeuron</w:t>
            </w:r>
            <w:r>
              <w:rPr>
                <w:rFonts w:ascii="Calibri" w:hAnsi="Calibri"/>
                <w:i w:val="0"/>
                <w:color w:val="141B2E"/>
                <w:sz w:val="19"/>
              </w:rPr>
              <w:t xml:space="preserve">, </w:t>
            </w:r>
            <w:r>
              <w:rPr>
                <w:rFonts w:ascii="Consolas" w:hAnsi="Consolas"/>
                <w:color w:val="102A54"/>
                <w:sz w:val="18"/>
              </w:rPr>
              <w:t>DegradationModelNeuron</w:t>
            </w:r>
            <w:r>
              <w:rPr>
                <w:rFonts w:ascii="Calibri" w:hAnsi="Calibri"/>
                <w:i w:val="0"/>
                <w:color w:val="141B2E"/>
                <w:sz w:val="19"/>
              </w:rPr>
              <w:t xml:space="preserve">, </w:t>
            </w:r>
            <w:r>
              <w:rPr>
                <w:rFonts w:ascii="Consolas" w:hAnsi="Consolas"/>
                <w:color w:val="102A54"/>
                <w:sz w:val="18"/>
              </w:rPr>
              <w:t>MaintenanceSchedulingNeuron</w:t>
            </w:r>
            <w:r>
              <w:rPr>
                <w:rFonts w:ascii="Calibri" w:hAnsi="Calibri"/>
                <w:i w:val="0"/>
                <w:color w:val="141B2E"/>
                <w:sz w:val="19"/>
              </w:rPr>
              <w:t xml:space="preserve">, </w:t>
            </w:r>
            <w:r>
              <w:rPr>
                <w:rFonts w:ascii="Consolas" w:hAnsi="Consolas"/>
                <w:color w:val="102A54"/>
                <w:sz w:val="18"/>
              </w:rPr>
              <w:t>EnergyAccountingNeuron</w:t>
            </w:r>
            <w:r>
              <w:rPr>
                <w:rFonts w:ascii="Calibri" w:hAnsi="Calibri"/>
                <w:i w:val="0"/>
                <w:color w:val="141B2E"/>
                <w:sz w:val="19"/>
              </w:rPr>
              <w:t xml:space="preserve">, </w:t>
            </w:r>
            <w:r>
              <w:rPr>
                <w:rFonts w:ascii="Consolas" w:hAnsi="Consolas"/>
                <w:color w:val="102A54"/>
                <w:sz w:val="18"/>
              </w:rPr>
              <w:t>SetpointOptimiserNeuron</w:t>
            </w:r>
            <w:r>
              <w:rPr>
                <w:rFonts w:ascii="Calibri" w:hAnsi="Calibri"/>
                <w:i w:val="0"/>
                <w:color w:val="141B2E"/>
                <w:sz w:val="19"/>
              </w:rPr>
              <w:t xml:space="preserve">, </w:t>
            </w:r>
            <w:r>
              <w:rPr>
                <w:rFonts w:ascii="Consolas" w:hAnsi="Consolas"/>
                <w:color w:val="102A54"/>
                <w:sz w:val="18"/>
              </w:rPr>
              <w:t>SafetyGateNeuron</w:t>
            </w:r>
          </w:p>
        </w:tc>
      </w:tr>
      <w:tr>
        <w:tc>
          <w:tcPr>
            <w:tcW w:type="dxa" w:w="2304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Процесори</w:t>
            </w:r>
          </w:p>
        </w:tc>
        <w:tc>
          <w:tcPr>
            <w:tcW w:type="dxa" w:w="7488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валідація, коливання/заклинювання, планування деградації, планування вікон обслуговування, оптимізація ефективності, запобіжник, диспетчеризація</w:t>
            </w:r>
          </w:p>
        </w:tc>
      </w:tr>
      <w:tr>
        <w:tc>
          <w:tcPr>
            <w:tcW w:type="dxa" w:w="2304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Джерела</w:t>
            </w:r>
          </w:p>
        </w:tc>
        <w:tc>
          <w:tcPr>
            <w:tcW w:type="dxa" w:w="7488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вимірювання/тривоги OPC UA, телеметрія MQTT, тіньовий Kafka, CMMS, контекст лічильника енергії</w:t>
            </w:r>
          </w:p>
        </w:tc>
      </w:tr>
      <w:tr>
        <w:tc>
          <w:tcPr>
            <w:tcW w:type="dxa" w:w="2304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Приймачі</w:t>
            </w:r>
          </w:p>
        </w:tc>
        <w:tc>
          <w:tcPr>
            <w:tcW w:type="dxa" w:w="7488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приймач аудиту JSONL, адаптер Kafka/SIEM/вебхук; приймач команд OPC UA лише з обґрунтуванням безпеки</w:t>
            </w:r>
          </w:p>
        </w:tc>
      </w:tr>
    </w:tbl>
    <w:p>
      <w:pPr>
        <w:spacing w:after="0" w:before="0"/>
      </w:pPr>
      <w:r>
        <w:rPr>
          <w:sz w:val="12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AF1F9"/>
          <w:left w:val="single" w:sz="4" w:space="0" w:color="EAF1F9"/>
          <w:bottom w:val="single" w:sz="4" w:space="0" w:color="EAF1F9"/>
          <w:right w:val="single" w:sz="4" w:space="0" w:color="EAF1F9"/>
          <w:insideH w:val="single" w:sz="4" w:space="0" w:color="EAF1F9"/>
          <w:insideV w:val="single" w:sz="4" w:space="0" w:color="EAF1F9"/>
        </w:tblBorders>
      </w:tblPr>
      <w:tblGrid>
        <w:gridCol w:w="9173"/>
      </w:tblGrid>
      <w:tr>
        <w:tc>
          <w:tcPr>
            <w:tcW w:type="dxa" w:w="9173"/>
            <w:shd w:val="clear" w:color="auto" w:fill="EAF1F9"/>
            <w:tcMar>
              <w:top w:w="120" w:type="dxa"/>
              <w:bottom w:w="120" w:type="dxa"/>
              <w:start w:w="160" w:type="dxa"/>
              <w:end w:w="160" w:type="dxa"/>
            </w:tcMar>
            <w:tcBorders>
              <w:left w:val="single" w:sz="24" w:space="0" w:color="1C5D99"/>
            </w:tcBorders>
          </w:tcPr>
          <w:p>
            <w:pPr>
              <w:spacing w:after="60"/>
            </w:pPr>
            <w:r>
              <w:rPr>
                <w:rFonts w:ascii="Calibri" w:hAnsi="Calibri"/>
                <w:b/>
                <w:color w:val="1C5D99"/>
                <w:sz w:val="21"/>
              </w:rPr>
              <w:t>Перевірка класів із швидкою помилкою</w:t>
            </w:r>
          </w:p>
          <w:p>
            <w:pPr>
              <w:spacing w:after="0"/>
            </w:pPr>
            <w:r>
              <w:rPr>
                <w:rFonts w:ascii="Consolas" w:hAnsi="Consolas"/>
                <w:color w:val="102A54"/>
                <w:sz w:val="19"/>
              </w:rPr>
              <w:t>production-context.json</w:t>
            </w:r>
            <w:r>
              <w:rPr>
                <w:rFonts w:ascii="Calibri" w:hAnsi="Calibri"/>
                <w:i w:val="0"/>
                <w:color w:val="141B2E"/>
                <w:sz w:val="20"/>
              </w:rPr>
              <w:t xml:space="preserve"> задає </w:t>
            </w:r>
            <w:r>
              <w:rPr>
                <w:rFonts w:ascii="Consolas" w:hAnsi="Consolas"/>
                <w:color w:val="102A54"/>
                <w:sz w:val="19"/>
              </w:rPr>
              <w:t>configuration.neuronnet.classes</w:t>
            </w:r>
            <w:r>
              <w:rPr>
                <w:rFonts w:ascii="Calibri" w:hAnsi="Calibri"/>
                <w:i w:val="0"/>
                <w:color w:val="141B2E"/>
                <w:sz w:val="20"/>
              </w:rPr>
              <w:t xml:space="preserve"> повним переліком класів часу виконання. Під час запуску </w:t>
            </w:r>
            <w:r>
              <w:rPr>
                <w:rFonts w:ascii="Consolas" w:hAnsi="Consolas"/>
                <w:color w:val="102A54"/>
                <w:sz w:val="19"/>
              </w:rPr>
              <w:t>LocalApplication</w:t>
            </w:r>
            <w:r>
              <w:rPr>
                <w:rFonts w:ascii="Calibri" w:hAnsi="Calibri"/>
                <w:i w:val="0"/>
                <w:color w:val="141B2E"/>
                <w:sz w:val="20"/>
              </w:rPr>
              <w:t xml:space="preserve"> перевіряє наявність кожного в JAR і переривається, якщо пакет неповний.</w:t>
            </w:r>
          </w:p>
        </w:tc>
      </w:tr>
    </w:tbl>
    <w:p>
      <w:pPr>
        <w:spacing w:after="0" w:before="0"/>
      </w:pPr>
      <w:r>
        <w:rPr>
          <w:sz w:val="12"/>
        </w:rPr>
      </w:r>
    </w:p>
    <w:p>
      <w:pPr>
        <w:keepNext/>
        <w:spacing w:before="320" w:after="40"/>
        <w:pBdr>
          <w:bottom w:val="single" w:sz="10" w:space="4" w:color="0E7C86"/>
        </w:pBdr>
      </w:pPr>
      <w:r>
        <w:rPr>
          <w:rFonts w:ascii="Calibri" w:hAnsi="Calibri"/>
          <w:b/>
          <w:color w:val="0E7C86"/>
          <w:sz w:val="34"/>
        </w:rPr>
        <w:t xml:space="preserve">7  </w:t>
      </w:r>
      <w:r>
        <w:rPr>
          <w:rFonts w:ascii="Calibri" w:hAnsi="Calibri"/>
          <w:b/>
          <w:color w:val="102A54"/>
          <w:sz w:val="34"/>
        </w:rPr>
        <w:t>Конфігурація середовища: production-context.json</w:t>
      </w:r>
    </w:p>
    <w:p>
      <w:pPr>
        <w:spacing w:after="120"/>
      </w:pPr>
      <w:r>
        <w:rPr>
          <w:rFonts w:ascii="Calibri" w:hAnsi="Calibri"/>
          <w:i w:val="0"/>
          <w:color w:val="141B2E"/>
          <w:sz w:val="21"/>
        </w:rPr>
        <w:t xml:space="preserve">Тренер генерує готовий контекст. Він має стандартну форму </w:t>
      </w:r>
      <w:r>
        <w:rPr>
          <w:rFonts w:ascii="Consolas" w:hAnsi="Consolas"/>
          <w:color w:val="102A54"/>
          <w:sz w:val="20"/>
        </w:rPr>
        <w:t>{"properties": { … }}</w:t>
      </w:r>
      <w:r>
        <w:rPr>
          <w:rFonts w:ascii="Calibri" w:hAnsi="Calibri"/>
          <w:i w:val="0"/>
          <w:color w:val="141B2E"/>
          <w:sz w:val="21"/>
        </w:rPr>
        <w:t xml:space="preserve"> і вже кодує налаштування рекомендаційного циклу. Критичні ключі: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DBE5"/>
          <w:left w:val="single" w:sz="4" w:space="0" w:color="D6DBE5"/>
          <w:bottom w:val="single" w:sz="4" w:space="0" w:color="D6DBE5"/>
          <w:right w:val="single" w:sz="4" w:space="0" w:color="D6DBE5"/>
          <w:insideH w:val="single" w:sz="4" w:space="0" w:color="D6DBE5"/>
          <w:insideV w:val="single" w:sz="4" w:space="0" w:color="D6DBE5"/>
        </w:tblBorders>
      </w:tblPr>
      <w:tblGrid>
        <w:gridCol w:w="4586"/>
        <w:gridCol w:w="4586"/>
      </w:tblGrid>
      <w:tr>
        <w:tc>
          <w:tcPr>
            <w:tcW w:type="dxa" w:w="4896"/>
            <w:shd w:val="clear" w:color="auto" w:fill="0E7C8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Ключ</w:t>
            </w:r>
          </w:p>
        </w:tc>
        <w:tc>
          <w:tcPr>
            <w:tcW w:type="dxa" w:w="4896"/>
            <w:shd w:val="clear" w:color="auto" w:fill="0E7C8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Промислове значення</w:t>
            </w:r>
          </w:p>
        </w:tc>
      </w:tr>
      <w:tr>
        <w:tc>
          <w:tcPr>
            <w:tcW w:type="dxa" w:w="4896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02A54"/>
                <w:sz w:val="18"/>
              </w:rPr>
              <w:t>configuration.input.layermeta</w:t>
            </w:r>
          </w:p>
        </w:tc>
        <w:tc>
          <w:tcPr>
            <w:tcW w:type="dxa" w:w="4896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02A54"/>
                <w:sz w:val="18"/>
              </w:rPr>
              <w:t>model/industrial-loop-guardian/</w:t>
            </w:r>
            <w:r>
              <w:rPr>
                <w:rFonts w:ascii="Calibri" w:hAnsi="Calibri"/>
                <w:i w:val="0"/>
                <w:color w:val="141B2E"/>
                <w:sz w:val="19"/>
              </w:rPr>
              <w:t xml:space="preserve"> (згенерована тека рівнів)</w:t>
            </w:r>
          </w:p>
        </w:tc>
      </w:tr>
      <w:tr>
        <w:tc>
          <w:tcPr>
            <w:tcW w:type="dxa" w:w="4896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02A54"/>
                <w:sz w:val="18"/>
              </w:rPr>
              <w:t>configuration.isteacherstudying</w:t>
            </w:r>
          </w:p>
        </w:tc>
        <w:tc>
          <w:tcPr>
            <w:tcW w:type="dxa" w:w="4896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02A54"/>
                <w:sz w:val="18"/>
              </w:rPr>
              <w:t>false</w:t>
            </w:r>
          </w:p>
        </w:tc>
      </w:tr>
      <w:tr>
        <w:tc>
          <w:tcPr>
            <w:tcW w:type="dxa" w:w="4896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02A54"/>
                <w:sz w:val="18"/>
              </w:rPr>
              <w:t>configuration.discriminatorsAmount</w:t>
            </w:r>
          </w:p>
        </w:tc>
        <w:tc>
          <w:tcPr>
            <w:tcW w:type="dxa" w:w="4896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02A54"/>
                <w:sz w:val="18"/>
              </w:rPr>
              <w:t>0</w:t>
            </w:r>
          </w:p>
        </w:tc>
      </w:tr>
      <w:tr>
        <w:tc>
          <w:tcPr>
            <w:tcW w:type="dxa" w:w="4896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02A54"/>
                <w:sz w:val="18"/>
              </w:rPr>
              <w:t>configuration.infiniteRun</w:t>
            </w:r>
          </w:p>
        </w:tc>
        <w:tc>
          <w:tcPr>
            <w:tcW w:type="dxa" w:w="4896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02A54"/>
                <w:sz w:val="18"/>
              </w:rPr>
              <w:t>true</w:t>
            </w:r>
          </w:p>
        </w:tc>
      </w:tr>
      <w:tr>
        <w:tc>
          <w:tcPr>
            <w:tcW w:type="dxa" w:w="4896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02A54"/>
                <w:sz w:val="18"/>
              </w:rPr>
              <w:t>configuration.runoncein</w:t>
            </w:r>
          </w:p>
        </w:tc>
        <w:tc>
          <w:tcPr>
            <w:tcW w:type="dxa" w:w="4896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02A54"/>
                <w:sz w:val="18"/>
              </w:rPr>
              <w:t>1</w:t>
            </w:r>
            <w:r>
              <w:rPr>
                <w:rFonts w:ascii="Calibri" w:hAnsi="Calibri"/>
                <w:i w:val="0"/>
                <w:color w:val="141B2E"/>
                <w:sz w:val="19"/>
              </w:rPr>
              <w:t xml:space="preserve"> мс (один рекомендаційний такт на мілісекунду)</w:t>
            </w:r>
          </w:p>
        </w:tc>
      </w:tr>
      <w:tr>
        <w:tc>
          <w:tcPr>
            <w:tcW w:type="dxa" w:w="4896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02A54"/>
                <w:sz w:val="18"/>
              </w:rPr>
              <w:t>configuration.processing.frequency.map</w:t>
            </w:r>
          </w:p>
        </w:tc>
        <w:tc>
          <w:tcPr>
            <w:tcW w:type="dxa" w:w="4896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швидкі теги щоцикл; деградація/енергія кожні 10; обслуговування кожні 60</w:t>
            </w:r>
          </w:p>
        </w:tc>
      </w:tr>
      <w:tr>
        <w:tc>
          <w:tcPr>
            <w:tcW w:type="dxa" w:w="4896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02A54"/>
                <w:sz w:val="18"/>
              </w:rPr>
              <w:t>configuration.outputAggregator</w:t>
            </w:r>
          </w:p>
        </w:tc>
        <w:tc>
          <w:tcPr>
            <w:tcW w:type="dxa" w:w="4896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02A54"/>
                <w:sz w:val="18"/>
              </w:rPr>
              <w:t>JsonlResultAggregator</w:t>
            </w:r>
            <w:r>
              <w:rPr>
                <w:rFonts w:ascii="Calibri" w:hAnsi="Calibri"/>
                <w:i w:val="0"/>
                <w:color w:val="141B2E"/>
                <w:sz w:val="19"/>
              </w:rPr>
              <w:t xml:space="preserve"> (замініть на ваш приймач SIEM/Kafka)</w:t>
            </w:r>
          </w:p>
        </w:tc>
      </w:tr>
      <w:tr>
        <w:tc>
          <w:tcPr>
            <w:tcW w:type="dxa" w:w="4896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02A54"/>
                <w:sz w:val="18"/>
              </w:rPr>
              <w:t>industrial.autonomousAction</w:t>
            </w:r>
          </w:p>
        </w:tc>
        <w:tc>
          <w:tcPr>
            <w:tcW w:type="dxa" w:w="4896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02A54"/>
                <w:sz w:val="18"/>
              </w:rPr>
              <w:t>false</w:t>
            </w:r>
          </w:p>
        </w:tc>
      </w:tr>
      <w:tr>
        <w:tc>
          <w:tcPr>
            <w:tcW w:type="dxa" w:w="4896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02A54"/>
                <w:sz w:val="18"/>
              </w:rPr>
              <w:t>industrial.opcua.role</w:t>
            </w:r>
          </w:p>
        </w:tc>
        <w:tc>
          <w:tcPr>
            <w:tcW w:type="dxa" w:w="4896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02A54"/>
                <w:sz w:val="18"/>
              </w:rPr>
              <w:t>bounded-local-actuator-path</w:t>
            </w:r>
          </w:p>
        </w:tc>
      </w:tr>
      <w:tr>
        <w:tc>
          <w:tcPr>
            <w:tcW w:type="dxa" w:w="4896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02A54"/>
                <w:sz w:val="18"/>
              </w:rPr>
              <w:t>industrial.mqtt.role</w:t>
            </w:r>
          </w:p>
        </w:tc>
        <w:tc>
          <w:tcPr>
            <w:tcW w:type="dxa" w:w="4896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02A54"/>
                <w:sz w:val="18"/>
              </w:rPr>
              <w:t>telemetry-and-advisory-only</w:t>
            </w:r>
          </w:p>
        </w:tc>
      </w:tr>
      <w:tr>
        <w:tc>
          <w:tcPr>
            <w:tcW w:type="dxa" w:w="4896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02A54"/>
                <w:sz w:val="18"/>
              </w:rPr>
              <w:t>industrial.neuronOwnedLogic</w:t>
            </w:r>
          </w:p>
        </w:tc>
        <w:tc>
          <w:tcPr>
            <w:tcW w:type="dxa" w:w="4896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діагностика, економічний базис, межа безпеки, обмежена рекомендація</w:t>
            </w:r>
          </w:p>
        </w:tc>
      </w:tr>
    </w:tbl>
    <w:p>
      <w:pPr>
        <w:spacing w:after="0" w:before="0"/>
      </w:pPr>
      <w:r>
        <w:rPr>
          <w:sz w:val="12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8F3EC"/>
          <w:left w:val="single" w:sz="4" w:space="0" w:color="E8F3EC"/>
          <w:bottom w:val="single" w:sz="4" w:space="0" w:color="E8F3EC"/>
          <w:right w:val="single" w:sz="4" w:space="0" w:color="E8F3EC"/>
          <w:insideH w:val="single" w:sz="4" w:space="0" w:color="E8F3EC"/>
          <w:insideV w:val="single" w:sz="4" w:space="0" w:color="E8F3EC"/>
        </w:tblBorders>
      </w:tblPr>
      <w:tblGrid>
        <w:gridCol w:w="9173"/>
      </w:tblGrid>
      <w:tr>
        <w:tc>
          <w:tcPr>
            <w:tcW w:type="dxa" w:w="9173"/>
            <w:shd w:val="clear" w:color="auto" w:fill="E8F3EC"/>
            <w:tcMar>
              <w:top w:w="120" w:type="dxa"/>
              <w:bottom w:w="120" w:type="dxa"/>
              <w:start w:w="160" w:type="dxa"/>
              <w:end w:w="160" w:type="dxa"/>
            </w:tcMar>
            <w:tcBorders>
              <w:left w:val="single" w:sz="24" w:space="0" w:color="1F7A3D"/>
            </w:tcBorders>
          </w:tcPr>
          <w:p>
            <w:pPr>
              <w:spacing w:after="60"/>
            </w:pPr>
            <w:r>
              <w:rPr>
                <w:rFonts w:ascii="Calibri" w:hAnsi="Calibri"/>
                <w:b/>
                <w:color w:val="1F7A3D"/>
                <w:sz w:val="21"/>
              </w:rPr>
              <w:t>Безперервний рекомендаційний цикл</w:t>
            </w:r>
          </w:p>
          <w:p>
            <w:pPr>
              <w:spacing w:after="0"/>
            </w:pPr>
            <w:r>
              <w:rPr>
                <w:rFonts w:ascii="Calibri" w:hAnsi="Calibri"/>
                <w:i w:val="0"/>
                <w:color w:val="141B2E"/>
                <w:sz w:val="20"/>
              </w:rPr>
              <w:t xml:space="preserve">Разом </w:t>
            </w:r>
            <w:r>
              <w:rPr>
                <w:rFonts w:ascii="Consolas" w:hAnsi="Consolas"/>
                <w:color w:val="102A54"/>
                <w:sz w:val="19"/>
              </w:rPr>
              <w:t>isteacherstudying=false</w:t>
            </w:r>
            <w:r>
              <w:rPr>
                <w:rFonts w:ascii="Calibri" w:hAnsi="Calibri"/>
                <w:i w:val="0"/>
                <w:color w:val="141B2E"/>
                <w:sz w:val="20"/>
              </w:rPr>
              <w:t xml:space="preserve">, </w:t>
            </w:r>
            <w:r>
              <w:rPr>
                <w:rFonts w:ascii="Consolas" w:hAnsi="Consolas"/>
                <w:color w:val="102A54"/>
                <w:sz w:val="19"/>
              </w:rPr>
              <w:t>discriminatorsAmount=0</w:t>
            </w:r>
            <w:r>
              <w:rPr>
                <w:rFonts w:ascii="Calibri" w:hAnsi="Calibri"/>
                <w:i w:val="0"/>
                <w:color w:val="141B2E"/>
                <w:sz w:val="20"/>
              </w:rPr>
              <w:t xml:space="preserve"> та </w:t>
            </w:r>
            <w:r>
              <w:rPr>
                <w:rFonts w:ascii="Consolas" w:hAnsi="Consolas"/>
                <w:color w:val="102A54"/>
                <w:sz w:val="19"/>
              </w:rPr>
              <w:t>infiniteRun=true</w:t>
            </w:r>
            <w:r>
              <w:rPr>
                <w:rFonts w:ascii="Calibri" w:hAnsi="Calibri"/>
                <w:i w:val="0"/>
                <w:color w:val="141B2E"/>
                <w:sz w:val="20"/>
              </w:rPr>
              <w:t xml:space="preserve"> переводять worker у безперервний рекомендаційний цикл. </w:t>
            </w:r>
            <w:r>
              <w:rPr>
                <w:rFonts w:ascii="Consolas" w:hAnsi="Consolas"/>
                <w:color w:val="102A54"/>
                <w:sz w:val="19"/>
              </w:rPr>
              <w:t>runoncein=1</w:t>
            </w:r>
            <w:r>
              <w:rPr>
                <w:rFonts w:ascii="Calibri" w:hAnsi="Calibri"/>
                <w:i w:val="0"/>
                <w:color w:val="141B2E"/>
                <w:sz w:val="20"/>
              </w:rPr>
              <w:t xml:space="preserve"> задає темп одного такту на мілісекунду, перш ніж мапа частот фанить швидкі й повільні сигнали за їхніми кадансами.</w:t>
            </w:r>
          </w:p>
        </w:tc>
      </w:tr>
    </w:tbl>
    <w:p>
      <w:pPr>
        <w:spacing w:after="0" w:before="0"/>
      </w:pPr>
      <w:r>
        <w:rPr>
          <w:sz w:val="12"/>
        </w:rPr>
      </w:r>
    </w:p>
    <w:p>
      <w:pPr>
        <w:keepNext/>
        <w:spacing w:before="320" w:after="40"/>
        <w:pBdr>
          <w:bottom w:val="single" w:sz="10" w:space="4" w:color="0E7C86"/>
        </w:pBdr>
      </w:pPr>
      <w:r>
        <w:rPr>
          <w:rFonts w:ascii="Calibri" w:hAnsi="Calibri"/>
          <w:b/>
          <w:color w:val="0E7C86"/>
          <w:sz w:val="34"/>
        </w:rPr>
        <w:t xml:space="preserve">8  </w:t>
      </w:r>
      <w:r>
        <w:rPr>
          <w:rFonts w:ascii="Calibri" w:hAnsi="Calibri"/>
          <w:b/>
          <w:color w:val="102A54"/>
          <w:sz w:val="34"/>
        </w:rPr>
        <w:t>Налаштуйте джерела подій і потоковий вхід</w:t>
      </w:r>
    </w:p>
    <w:p>
      <w:pPr>
        <w:spacing w:after="120"/>
      </w:pPr>
      <w:r>
        <w:rPr>
          <w:rFonts w:ascii="Calibri" w:hAnsi="Calibri"/>
          <w:i w:val="0"/>
          <w:color w:val="141B2E"/>
          <w:sz w:val="21"/>
        </w:rPr>
        <w:t xml:space="preserve">Локальне відтворення через Entry використовує вбудований </w:t>
      </w:r>
      <w:r>
        <w:rPr>
          <w:rFonts w:ascii="Consolas" w:hAnsi="Consolas"/>
          <w:color w:val="102A54"/>
          <w:sz w:val="20"/>
        </w:rPr>
        <w:t>IndustrialLoopGuardianReplayInput</w:t>
      </w:r>
      <w:r>
        <w:rPr>
          <w:rFonts w:ascii="Calibri" w:hAnsi="Calibri"/>
          <w:i w:val="0"/>
          <w:color w:val="141B2E"/>
          <w:sz w:val="21"/>
        </w:rPr>
        <w:t xml:space="preserve"> (запускається </w:t>
      </w:r>
      <w:r>
        <w:rPr>
          <w:rFonts w:ascii="Consolas" w:hAnsi="Consolas"/>
          <w:color w:val="102A54"/>
          <w:sz w:val="20"/>
        </w:rPr>
        <w:t>IndustrialLoopGuardianEntryLauncher</w:t>
      </w:r>
      <w:r>
        <w:rPr>
          <w:rFonts w:ascii="Calibri" w:hAnsi="Calibri"/>
          <w:i w:val="0"/>
          <w:color w:val="141B2E"/>
          <w:sz w:val="21"/>
        </w:rPr>
        <w:t xml:space="preserve">). Для промислу під'єднайте специфічний для майданчика </w:t>
      </w:r>
      <w:r>
        <w:rPr>
          <w:rFonts w:ascii="Consolas" w:hAnsi="Consolas"/>
          <w:color w:val="102A54"/>
          <w:sz w:val="20"/>
        </w:rPr>
        <w:t>IInitInput</w:t>
      </w:r>
      <w:r>
        <w:rPr>
          <w:rFonts w:ascii="Calibri" w:hAnsi="Calibri"/>
          <w:i w:val="0"/>
          <w:color w:val="141B2E"/>
          <w:sz w:val="21"/>
        </w:rPr>
        <w:t xml:space="preserve"> або один із наявних вхідних мостів — вимірювань/подій </w:t>
      </w:r>
      <w:r>
        <w:rPr>
          <w:rFonts w:ascii="Calibri" w:hAnsi="Calibri"/>
          <w:b/>
          <w:i w:val="0"/>
          <w:color w:val="141B2E"/>
          <w:sz w:val="21"/>
        </w:rPr>
        <w:t>OPC UA, MQTT, FMI та PLC4X</w:t>
      </w:r>
      <w:r>
        <w:rPr>
          <w:rFonts w:ascii="Calibri" w:hAnsi="Calibri"/>
          <w:i w:val="0"/>
          <w:color w:val="141B2E"/>
          <w:sz w:val="21"/>
        </w:rPr>
        <w:t xml:space="preserve"> — що перетворюють ваші записи на типізовані промислові сигнали, зберігаючи час події. Рекомендовані групи тем Kafka: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DBE5"/>
          <w:left w:val="single" w:sz="4" w:space="0" w:color="D6DBE5"/>
          <w:bottom w:val="single" w:sz="4" w:space="0" w:color="D6DBE5"/>
          <w:right w:val="single" w:sz="4" w:space="0" w:color="D6DBE5"/>
          <w:insideH w:val="single" w:sz="4" w:space="0" w:color="D6DBE5"/>
          <w:insideV w:val="single" w:sz="4" w:space="0" w:color="D6DBE5"/>
        </w:tblBorders>
      </w:tblPr>
      <w:tblGrid>
        <w:gridCol w:w="4586"/>
        <w:gridCol w:w="4586"/>
      </w:tblGrid>
      <w:tr>
        <w:tc>
          <w:tcPr>
            <w:tcW w:type="dxa" w:w="4608"/>
            <w:shd w:val="clear" w:color="auto" w:fill="0E7C8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Група тем</w:t>
            </w:r>
          </w:p>
        </w:tc>
        <w:tc>
          <w:tcPr>
            <w:tcW w:type="dxa" w:w="5184"/>
            <w:shd w:val="clear" w:color="auto" w:fill="0E7C8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Відображається на сигнал</w:t>
            </w:r>
          </w:p>
        </w:tc>
      </w:tr>
      <w:tr>
        <w:tc>
          <w:tcPr>
            <w:tcW w:type="dxa" w:w="4608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02A54"/>
                <w:sz w:val="18"/>
              </w:rPr>
              <w:t>plant.telemetry.measurements</w:t>
            </w:r>
          </w:p>
        </w:tc>
        <w:tc>
          <w:tcPr>
            <w:tcW w:type="dxa" w:w="5184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02A54"/>
                <w:sz w:val="18"/>
              </w:rPr>
              <w:t>MeasurementSignal</w:t>
            </w:r>
          </w:p>
        </w:tc>
      </w:tr>
      <w:tr>
        <w:tc>
          <w:tcPr>
            <w:tcW w:type="dxa" w:w="4608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02A54"/>
                <w:sz w:val="18"/>
              </w:rPr>
              <w:t>plant.telemetry.alarms</w:t>
            </w:r>
          </w:p>
        </w:tc>
        <w:tc>
          <w:tcPr>
            <w:tcW w:type="dxa" w:w="5184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02A54"/>
                <w:sz w:val="18"/>
              </w:rPr>
              <w:t>AlarmSignal</w:t>
            </w:r>
          </w:p>
        </w:tc>
      </w:tr>
      <w:tr>
        <w:tc>
          <w:tcPr>
            <w:tcW w:type="dxa" w:w="4608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02A54"/>
                <w:sz w:val="18"/>
              </w:rPr>
              <w:t>plant.maintenance.events</w:t>
            </w:r>
          </w:p>
        </w:tc>
        <w:tc>
          <w:tcPr>
            <w:tcW w:type="dxa" w:w="5184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02A54"/>
                <w:sz w:val="18"/>
              </w:rPr>
              <w:t>DegradationSignal</w:t>
            </w:r>
            <w:r>
              <w:rPr>
                <w:rFonts w:ascii="Calibri" w:hAnsi="Calibri"/>
                <w:i w:val="0"/>
                <w:color w:val="141B2E"/>
                <w:sz w:val="19"/>
              </w:rPr>
              <w:t xml:space="preserve"> / контекст обслуговування</w:t>
            </w:r>
          </w:p>
        </w:tc>
      </w:tr>
      <w:tr>
        <w:tc>
          <w:tcPr>
            <w:tcW w:type="dxa" w:w="4608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02A54"/>
                <w:sz w:val="18"/>
              </w:rPr>
              <w:t>plant.energy.meters</w:t>
            </w:r>
          </w:p>
        </w:tc>
        <w:tc>
          <w:tcPr>
            <w:tcW w:type="dxa" w:w="5184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02A54"/>
                <w:sz w:val="18"/>
              </w:rPr>
              <w:t>EfficiencySignal</w:t>
            </w:r>
          </w:p>
        </w:tc>
      </w:tr>
      <w:tr>
        <w:tc>
          <w:tcPr>
            <w:tcW w:type="dxa" w:w="4608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02A54"/>
                <w:sz w:val="18"/>
              </w:rPr>
              <w:t>plant.cmms.workorders</w:t>
            </w:r>
          </w:p>
        </w:tc>
        <w:tc>
          <w:tcPr>
            <w:tcW w:type="dxa" w:w="5184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02A54"/>
                <w:sz w:val="18"/>
              </w:rPr>
              <w:t>MaintenanceWindowSignal</w:t>
            </w:r>
            <w:r>
              <w:rPr>
                <w:rFonts w:ascii="Calibri" w:hAnsi="Calibri"/>
                <w:i w:val="0"/>
                <w:color w:val="141B2E"/>
                <w:sz w:val="19"/>
              </w:rPr>
              <w:t xml:space="preserve"> / історія обслуговування</w:t>
            </w:r>
          </w:p>
        </w:tc>
      </w:tr>
      <w:tr>
        <w:tc>
          <w:tcPr>
            <w:tcW w:type="dxa" w:w="4608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02A54"/>
                <w:sz w:val="18"/>
              </w:rPr>
              <w:t>plant.condition.waveforms</w:t>
            </w:r>
          </w:p>
        </w:tc>
        <w:tc>
          <w:tcPr>
            <w:tcW w:type="dxa" w:w="5184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02A54"/>
                <w:sz w:val="18"/>
              </w:rPr>
              <w:t>MachineWaveformSignal</w:t>
            </w:r>
            <w:r>
              <w:rPr>
                <w:rFonts w:ascii="Calibri" w:hAnsi="Calibri"/>
                <w:i w:val="0"/>
                <w:color w:val="141B2E"/>
                <w:sz w:val="19"/>
              </w:rPr>
              <w:t xml:space="preserve"> (акустичні / вібраційні потоки)</w:t>
            </w:r>
          </w:p>
        </w:tc>
      </w:tr>
    </w:tbl>
    <w:p>
      <w:pPr>
        <w:spacing w:after="0" w:before="0"/>
      </w:pPr>
      <w:r>
        <w:rPr>
          <w:sz w:val="12"/>
        </w:rPr>
      </w:r>
    </w:p>
    <w:p>
      <w:pPr>
        <w:spacing w:after="120"/>
      </w:pPr>
      <w:r>
        <w:rPr>
          <w:rFonts w:ascii="Calibri" w:hAnsi="Calibri"/>
          <w:i w:val="0"/>
          <w:color w:val="141B2E"/>
          <w:sz w:val="21"/>
        </w:rPr>
        <w:t xml:space="preserve">Тримайте каданс потоку узгодженим із </w:t>
      </w:r>
      <w:r>
        <w:rPr>
          <w:rFonts w:ascii="Consolas" w:hAnsi="Consolas"/>
          <w:color w:val="102A54"/>
          <w:sz w:val="20"/>
        </w:rPr>
        <w:t>configuration.processing.frequency.map</w:t>
      </w:r>
      <w:r>
        <w:rPr>
          <w:rFonts w:ascii="Calibri" w:hAnsi="Calibri"/>
          <w:i w:val="0"/>
          <w:color w:val="141B2E"/>
          <w:sz w:val="21"/>
        </w:rPr>
        <w:t>: швидкі теги щоцикл; висновки з обслуговування й енергії кожні 10–60 циклів; ознаки й рекомендації здоров'я машини — на власному повільнішому кадансі. Оскільки кореляція ведеться за часом події, запізніла чи невпорядкована телеметрія все одно потрапляє в правильне місце.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AF1F9"/>
          <w:left w:val="single" w:sz="4" w:space="0" w:color="EAF1F9"/>
          <w:bottom w:val="single" w:sz="4" w:space="0" w:color="EAF1F9"/>
          <w:right w:val="single" w:sz="4" w:space="0" w:color="EAF1F9"/>
          <w:insideH w:val="single" w:sz="4" w:space="0" w:color="EAF1F9"/>
          <w:insideV w:val="single" w:sz="4" w:space="0" w:color="EAF1F9"/>
        </w:tblBorders>
      </w:tblPr>
      <w:tblGrid>
        <w:gridCol w:w="9173"/>
      </w:tblGrid>
      <w:tr>
        <w:tc>
          <w:tcPr>
            <w:tcW w:type="dxa" w:w="9173"/>
            <w:shd w:val="clear" w:color="auto" w:fill="EAF1F9"/>
            <w:tcMar>
              <w:top w:w="120" w:type="dxa"/>
              <w:bottom w:w="120" w:type="dxa"/>
              <w:start w:w="160" w:type="dxa"/>
              <w:end w:w="160" w:type="dxa"/>
            </w:tcMar>
            <w:tcBorders>
              <w:left w:val="single" w:sz="24" w:space="0" w:color="1C5D99"/>
            </w:tcBorders>
          </w:tcPr>
          <w:p>
            <w:pPr>
              <w:spacing w:after="60"/>
            </w:pPr>
            <w:r>
              <w:rPr>
                <w:rFonts w:ascii="Calibri" w:hAnsi="Calibri"/>
                <w:b/>
                <w:color w:val="1C5D99"/>
                <w:sz w:val="21"/>
              </w:rPr>
              <w:t>Вхід моніторингу стану машини</w:t>
            </w:r>
          </w:p>
          <w:p>
            <w:pPr>
              <w:spacing w:after="0"/>
            </w:pPr>
            <w:r>
              <w:rPr>
                <w:rFonts w:ascii="Calibri" w:hAnsi="Calibri"/>
                <w:i w:val="0"/>
                <w:color w:val="141B2E"/>
                <w:sz w:val="20"/>
              </w:rPr>
              <w:t xml:space="preserve">Акустичні й вібраційні хвилі надходять як </w:t>
            </w:r>
            <w:r>
              <w:rPr>
                <w:rFonts w:ascii="Consolas" w:hAnsi="Consolas"/>
                <w:color w:val="102A54"/>
                <w:sz w:val="19"/>
              </w:rPr>
              <w:t>MachineWaveformSignal</w:t>
            </w:r>
            <w:r>
              <w:rPr>
                <w:rFonts w:ascii="Calibri" w:hAnsi="Calibri"/>
                <w:i w:val="0"/>
                <w:color w:val="141B2E"/>
                <w:sz w:val="20"/>
              </w:rPr>
              <w:t>; рівень здоров'я машини на Java видобуває ознаки, оцінює робочий режим і зсув домену, формує гіпотези несправностей і видає рекомендацію — усе лише для читання. Подавайте його з тих самих мостів OPC UA / MQTT / FMI / PLC4X або з виділеного високочастотного потоку сенсорів.</w:t>
            </w:r>
          </w:p>
        </w:tc>
      </w:tr>
    </w:tbl>
    <w:p>
      <w:pPr>
        <w:spacing w:after="0" w:before="0"/>
      </w:pPr>
      <w:r>
        <w:rPr>
          <w:sz w:val="12"/>
        </w:rPr>
      </w:r>
    </w:p>
    <w:p>
      <w:pPr>
        <w:keepNext/>
        <w:spacing w:before="320" w:after="40"/>
        <w:pBdr>
          <w:bottom w:val="single" w:sz="10" w:space="4" w:color="0E7C86"/>
        </w:pBdr>
      </w:pPr>
      <w:r>
        <w:rPr>
          <w:rFonts w:ascii="Calibri" w:hAnsi="Calibri"/>
          <w:b/>
          <w:color w:val="0E7C86"/>
          <w:sz w:val="34"/>
        </w:rPr>
        <w:t xml:space="preserve">9  </w:t>
      </w:r>
      <w:r>
        <w:rPr>
          <w:rFonts w:ascii="Calibri" w:hAnsi="Calibri"/>
          <w:b/>
          <w:color w:val="102A54"/>
          <w:sz w:val="34"/>
        </w:rPr>
        <w:t>Під'єднайте рекомендаційний вивід та запустіть worker</w:t>
      </w:r>
    </w:p>
    <w:p>
      <w:pPr>
        <w:spacing w:after="120"/>
      </w:pPr>
      <w:r>
        <w:rPr>
          <w:rFonts w:ascii="Consolas" w:hAnsi="Consolas"/>
          <w:color w:val="102A54"/>
          <w:sz w:val="20"/>
        </w:rPr>
        <w:t>configuration.outputAggregator</w:t>
      </w:r>
      <w:r>
        <w:rPr>
          <w:rFonts w:ascii="Calibri" w:hAnsi="Calibri"/>
          <w:i w:val="0"/>
          <w:color w:val="141B2E"/>
          <w:sz w:val="21"/>
        </w:rPr>
        <w:t xml:space="preserve"> вказує </w:t>
      </w:r>
      <w:r>
        <w:rPr>
          <w:rFonts w:ascii="Consolas" w:hAnsi="Consolas"/>
          <w:color w:val="102A54"/>
          <w:sz w:val="20"/>
        </w:rPr>
        <w:t>IOutputAggregator</w:t>
      </w:r>
      <w:r>
        <w:rPr>
          <w:rFonts w:ascii="Calibri" w:hAnsi="Calibri"/>
          <w:i w:val="0"/>
          <w:color w:val="141B2E"/>
          <w:sz w:val="21"/>
        </w:rPr>
        <w:t xml:space="preserve">, що викликається щоцикл із рекомендаціями мережі. Вбудований </w:t>
      </w:r>
      <w:r>
        <w:rPr>
          <w:rFonts w:ascii="Consolas" w:hAnsi="Consolas"/>
          <w:color w:val="102A54"/>
          <w:sz w:val="20"/>
        </w:rPr>
        <w:t>JsonlResultAggregator</w:t>
      </w:r>
      <w:r>
        <w:rPr>
          <w:rFonts w:ascii="Calibri" w:hAnsi="Calibri"/>
          <w:i w:val="0"/>
          <w:color w:val="141B2E"/>
          <w:sz w:val="21"/>
        </w:rPr>
        <w:t xml:space="preserve"> записує рекомендаційний JSONL — ідеально для приймача аудиту тіньового режиму. Кожна рекомендація несе повне міркування й економічний базис: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173"/>
      </w:tblGrid>
      <w:tr>
        <w:tc>
          <w:tcPr>
            <w:tcW w:type="dxa" w:w="9173"/>
            <w:shd w:val="clear" w:color="auto" w:fill="0E1A2B"/>
            <w:tcMar>
              <w:top w:w="90" w:type="dxa"/>
              <w:bottom w:w="90" w:type="dxa"/>
              <w:start w:w="140" w:type="dxa"/>
              <w:end w:w="140" w:type="dxa"/>
            </w:tcMar>
          </w:tcPr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>{</w:t>
            </w:r>
          </w:p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 xml:space="preserve">  "asset": "P-101",</w:t>
            </w:r>
          </w:p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 xml:space="preserve">  "finding": "pump wear and cavitation risk",</w:t>
            </w:r>
          </w:p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 xml:space="preserve">  "confidence": 0.73,</w:t>
            </w:r>
          </w:p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 xml:space="preserve">  "evidence": { "neuron": "PumpHealthAndEfficiencyNeuron", "maxVibrationRms": 4.3 },</w:t>
            </w:r>
          </w:p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 xml:space="preserve">  "recommendation": "SCHEDULE_PUMP_INSPECTION",</w:t>
            </w:r>
          </w:p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 xml:space="preserve">  "recommendedAction": "Inspect P-101 impeller and suction strainer.",</w:t>
            </w:r>
          </w:p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 xml:space="preserve">  "urgencyHours": 48,</w:t>
            </w:r>
          </w:p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 xml:space="preserve">  "economicBasis": { "neuron": "EconomicBasisNeuron",</w:t>
            </w:r>
          </w:p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 xml:space="preserve">                     "estimatedAvoidedShutdownValueUsd": 20000,</w:t>
            </w:r>
          </w:p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 xml:space="preserve">                     "safetyEnvelopeSatisfied": true },</w:t>
            </w:r>
          </w:p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 xml:space="preserve">  "controlBoundary": { "plcPidSis": "deterministic control and hard safety remain authoritative",</w:t>
            </w:r>
          </w:p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 xml:space="preserve">                       "jneopallium": "supervisory diagnosis and bounded recommendations" },</w:t>
            </w:r>
          </w:p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 xml:space="preserve">  "autonomousAction": false</w:t>
            </w:r>
          </w:p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>}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pPr>
        <w:spacing w:after="120"/>
      </w:pPr>
      <w:r>
        <w:rPr>
          <w:rFonts w:ascii="Calibri" w:hAnsi="Calibri"/>
          <w:i w:val="0"/>
          <w:color w:val="141B2E"/>
          <w:sz w:val="21"/>
        </w:rPr>
        <w:t xml:space="preserve">Підсистема здоров'я машини видає паралельний </w:t>
      </w:r>
      <w:r>
        <w:rPr>
          <w:rFonts w:ascii="Calibri" w:hAnsi="Calibri"/>
          <w:b/>
          <w:i w:val="0"/>
          <w:color w:val="141B2E"/>
          <w:sz w:val="21"/>
        </w:rPr>
        <w:t>`MachineHealthAdvisorySignal`</w:t>
      </w:r>
      <w:r>
        <w:rPr>
          <w:rFonts w:ascii="Calibri" w:hAnsi="Calibri"/>
          <w:i w:val="0"/>
          <w:color w:val="141B2E"/>
          <w:sz w:val="21"/>
        </w:rPr>
        <w:t xml:space="preserve"> із власною каліброваною формою з урахуванням невпевненості — також лише рекомендаційний: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173"/>
      </w:tblGrid>
      <w:tr>
        <w:tc>
          <w:tcPr>
            <w:tcW w:type="dxa" w:w="9173"/>
            <w:shd w:val="clear" w:color="auto" w:fill="0E1A2B"/>
            <w:tcMar>
              <w:top w:w="90" w:type="dxa"/>
              <w:bottom w:w="90" w:type="dxa"/>
              <w:start w:w="140" w:type="dxa"/>
              <w:end w:w="140" w:type="dxa"/>
            </w:tcMar>
          </w:tcPr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>{</w:t>
            </w:r>
          </w:p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 xml:space="preserve">  "asset": "P-101",</w:t>
            </w:r>
          </w:p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 xml:space="preserve">  "healthScore": 0.62,</w:t>
            </w:r>
          </w:p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 xml:space="preserve">  "anomalyProbability": 0.71,</w:t>
            </w:r>
          </w:p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 xml:space="preserve">  "faultProbabilities": { "bearingDamage": 0.66, "cavitation": 0.21,</w:t>
            </w:r>
          </w:p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 xml:space="preserve">                          "imbalance": 0.08, "sensorFault": 0.05 },</w:t>
            </w:r>
          </w:p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 xml:space="preserve">  "unknownAnomalyProbability": 0.12,</w:t>
            </w:r>
          </w:p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 xml:space="preserve">  "domainShiftScore": 0.18,</w:t>
            </w:r>
          </w:p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 xml:space="preserve">  "uncertainty": 0.24,</w:t>
            </w:r>
          </w:p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 xml:space="preserve">  "evidence": { "neuron": "MachineHealthCorrelationNeuron",</w:t>
            </w:r>
          </w:p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 xml:space="preserve">                "acousticRms": 0.41, "vibrationEnvelopeEnergy": 0.58 },</w:t>
            </w:r>
          </w:p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 xml:space="preserve">  "autonomousAction": false</w:t>
            </w:r>
          </w:p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>}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pPr>
        <w:spacing w:after="120"/>
      </w:pPr>
      <w:r>
        <w:rPr>
          <w:rFonts w:ascii="Calibri" w:hAnsi="Calibri"/>
          <w:i w:val="0"/>
          <w:color w:val="141B2E"/>
          <w:sz w:val="21"/>
        </w:rPr>
        <w:t xml:space="preserve">Для промислу пересилайте цей JSONL у вашу SIEM, тему Kafka, CMMS чи вебхук. Потім запустіть worker (роздільник classpath: </w:t>
      </w:r>
      <w:r>
        <w:rPr>
          <w:rFonts w:ascii="Consolas" w:hAnsi="Consolas"/>
          <w:color w:val="102A54"/>
          <w:sz w:val="20"/>
        </w:rPr>
        <w:t>;</w:t>
      </w:r>
      <w:r>
        <w:rPr>
          <w:rFonts w:ascii="Calibri" w:hAnsi="Calibri"/>
          <w:i w:val="0"/>
          <w:color w:val="141B2E"/>
          <w:sz w:val="21"/>
        </w:rPr>
        <w:t xml:space="preserve"> у Windows, </w:t>
      </w:r>
      <w:r>
        <w:rPr>
          <w:rFonts w:ascii="Consolas" w:hAnsi="Consolas"/>
          <w:color w:val="102A54"/>
          <w:sz w:val="20"/>
        </w:rPr>
        <w:t>:</w:t>
      </w:r>
      <w:r>
        <w:rPr>
          <w:rFonts w:ascii="Calibri" w:hAnsi="Calibri"/>
          <w:i w:val="0"/>
          <w:color w:val="141B2E"/>
          <w:sz w:val="21"/>
        </w:rPr>
        <w:t xml:space="preserve"> у Linux/macOS):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173"/>
      </w:tblGrid>
      <w:tr>
        <w:tc>
          <w:tcPr>
            <w:tcW w:type="dxa" w:w="9173"/>
            <w:shd w:val="clear" w:color="auto" w:fill="0E1A2B"/>
            <w:tcMar>
              <w:top w:w="90" w:type="dxa"/>
              <w:bottom w:w="90" w:type="dxa"/>
              <w:start w:w="140" w:type="dxa"/>
              <w:end w:w="140" w:type="dxa"/>
            </w:tcMar>
          </w:tcPr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>java -cp worker/target/worker-jar-with-dependencies.jar \</w:t>
            </w:r>
          </w:p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 xml:space="preserve">  com.rakovpublic.jneuropallium.worker.application.Entry \</w:t>
            </w:r>
          </w:p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 xml:space="preserve">  local \</w:t>
            </w:r>
          </w:p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 xml:space="preserve">  file:///opt/jneopallium/industrial-loop-guardian.jar \</w:t>
            </w:r>
          </w:p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 xml:space="preserve">  com.rakovpublic.jneuropallium.worker.demo.fullrun.runtime.DemoJsonContext \</w:t>
            </w:r>
          </w:p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 xml:space="preserve">  /opt/jneopallium/model/industrial-loop-guardian/production-context.json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pPr>
        <w:keepNext/>
        <w:spacing w:before="320" w:after="40"/>
        <w:pBdr>
          <w:bottom w:val="single" w:sz="10" w:space="4" w:color="0E7C86"/>
        </w:pBdr>
      </w:pPr>
      <w:r>
        <w:rPr>
          <w:rFonts w:ascii="Calibri" w:hAnsi="Calibri"/>
          <w:b/>
          <w:color w:val="0E7C86"/>
          <w:sz w:val="34"/>
        </w:rPr>
        <w:t xml:space="preserve">10  </w:t>
      </w:r>
      <w:r>
        <w:rPr>
          <w:rFonts w:ascii="Calibri" w:hAnsi="Calibri"/>
          <w:b/>
          <w:color w:val="102A54"/>
          <w:sz w:val="34"/>
        </w:rPr>
        <w:t>Межа керування й безпеки в промислі</w:t>
      </w:r>
    </w:p>
    <w:p>
      <w:pPr>
        <w:spacing w:after="120"/>
      </w:pPr>
      <w:r>
        <w:rPr>
          <w:rFonts w:ascii="Calibri" w:hAnsi="Calibri"/>
          <w:i w:val="0"/>
          <w:color w:val="141B2E"/>
          <w:sz w:val="21"/>
        </w:rPr>
        <w:t>Межа, яку забезпечує демо, — це межа, яку ви тримаєте в промислі. Саме вона робить продукт страхованим і легким для валідації:</w:t>
      </w:r>
    </w:p>
    <w:p>
      <w:pPr>
        <w:pStyle w:val="ListBullet"/>
        <w:spacing w:after="60" w:line="269" w:lineRule="auto"/>
        <w:ind w:left="403"/>
      </w:pPr>
      <w:r>
        <w:rPr>
          <w:rFonts w:ascii="Calibri" w:hAnsi="Calibri"/>
          <w:b/>
          <w:i w:val="0"/>
          <w:color w:val="141B2E"/>
          <w:sz w:val="21"/>
        </w:rPr>
        <w:t>PLC / PID / SIS</w:t>
      </w:r>
      <w:r>
        <w:rPr>
          <w:rFonts w:ascii="Calibri" w:hAnsi="Calibri"/>
          <w:i w:val="0"/>
          <w:color w:val="141B2E"/>
          <w:sz w:val="21"/>
        </w:rPr>
        <w:t xml:space="preserve"> володіють детермінованим мілісекундним керуванням і жорсткою безпекою. Завжди авторитетні.</w:t>
      </w:r>
    </w:p>
    <w:p>
      <w:pPr>
        <w:pStyle w:val="ListBullet"/>
        <w:spacing w:after="60" w:line="269" w:lineRule="auto"/>
        <w:ind w:left="403"/>
      </w:pPr>
      <w:r>
        <w:rPr>
          <w:rFonts w:ascii="Calibri" w:hAnsi="Calibri"/>
          <w:b/>
          <w:i w:val="0"/>
          <w:color w:val="141B2E"/>
          <w:sz w:val="21"/>
        </w:rPr>
        <w:t>OPC UA</w:t>
      </w:r>
      <w:r>
        <w:rPr>
          <w:rFonts w:ascii="Calibri" w:hAnsi="Calibri"/>
          <w:i w:val="0"/>
          <w:color w:val="141B2E"/>
          <w:sz w:val="21"/>
        </w:rPr>
        <w:t xml:space="preserve"> — єдиний обмежений шлях виконавчих механізмів, і лише коли обґрунтування безпеки дозволяє записи. Три командні вузли; кожен запис проходить ланцюг пріоритету нижче.</w:t>
      </w:r>
    </w:p>
    <w:p>
      <w:pPr>
        <w:pStyle w:val="ListBullet"/>
        <w:spacing w:after="60" w:line="269" w:lineRule="auto"/>
        <w:ind w:left="403"/>
      </w:pPr>
      <w:r>
        <w:rPr>
          <w:rFonts w:ascii="Calibri" w:hAnsi="Calibri"/>
          <w:b/>
          <w:i w:val="0"/>
          <w:color w:val="141B2E"/>
          <w:sz w:val="21"/>
        </w:rPr>
        <w:t>MQTT</w:t>
      </w:r>
      <w:r>
        <w:rPr>
          <w:rFonts w:ascii="Calibri" w:hAnsi="Calibri"/>
          <w:i w:val="0"/>
          <w:color w:val="141B2E"/>
          <w:sz w:val="21"/>
        </w:rPr>
        <w:t xml:space="preserve"> — лише телеметрія й рекомендації; міст структурно відхиляє AUTONOMOUS.</w:t>
      </w:r>
    </w:p>
    <w:p>
      <w:pPr>
        <w:pStyle w:val="ListBullet"/>
        <w:spacing w:after="60" w:line="269" w:lineRule="auto"/>
        <w:ind w:left="403"/>
      </w:pPr>
      <w:r>
        <w:rPr>
          <w:rFonts w:ascii="Calibri" w:hAnsi="Calibri"/>
          <w:b/>
          <w:i w:val="0"/>
          <w:color w:val="141B2E"/>
          <w:sz w:val="21"/>
        </w:rPr>
        <w:t>Здоров'я машини</w:t>
      </w:r>
      <w:r>
        <w:rPr>
          <w:rFonts w:ascii="Calibri" w:hAnsi="Calibri"/>
          <w:i w:val="0"/>
          <w:color w:val="141B2E"/>
          <w:sz w:val="21"/>
        </w:rPr>
        <w:t xml:space="preserve"> — лише для читання: </w:t>
      </w:r>
      <w:r>
        <w:rPr>
          <w:rFonts w:ascii="Consolas" w:hAnsi="Consolas"/>
          <w:color w:val="102A54"/>
          <w:sz w:val="20"/>
        </w:rPr>
        <w:t>MachineHealthAdvisorySignal</w:t>
      </w:r>
      <w:r>
        <w:rPr>
          <w:rFonts w:ascii="Calibri" w:hAnsi="Calibri"/>
          <w:i w:val="0"/>
          <w:color w:val="141B2E"/>
          <w:sz w:val="21"/>
        </w:rPr>
        <w:t xml:space="preserve"> ніколи не записує команду виконавчого механізму; інтерлоки, запобіжник і перевизначення оператора лишаються авторитетними й над ним.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173"/>
      </w:tblGrid>
      <w:tr>
        <w:tc>
          <w:tcPr>
            <w:tcW w:type="dxa" w:w="9173"/>
            <w:shd w:val="clear" w:color="auto" w:fill="0E1A2B"/>
            <w:tcMar>
              <w:top w:w="90" w:type="dxa"/>
              <w:bottom w:w="90" w:type="dxa"/>
              <w:start w:w="140" w:type="dxa"/>
              <w:end w:w="140" w:type="dxa"/>
            </w:tcMar>
          </w:tcPr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>жорсткий інтерлок -&gt; локальний fail-safe -&gt; перевизначення оператора -&gt; режим безпеки</w:t>
            </w:r>
          </w:p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 xml:space="preserve">  -&gt; валідація/якість -&gt; обмеження -&gt; ліміт рампи -&gt; придушення різниці</w:t>
            </w:r>
          </w:p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 xml:space="preserve">  -&gt; запис OPC UA -&gt; аудит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pPr>
        <w:spacing w:after="120"/>
      </w:pPr>
      <w:r>
        <w:rPr>
          <w:rFonts w:ascii="Calibri" w:hAnsi="Calibri"/>
          <w:i w:val="0"/>
          <w:color w:val="141B2E"/>
          <w:sz w:val="21"/>
        </w:rPr>
        <w:t>Безпечні значення при втраті: клапан охолодження 100% відкрито, швидкість насоса 30%, потужність нагрівача 0%. При втраті OPC UA скід застосовує їх локально; при втраті MQTT доступність швидкого контуру лишається 1.0.</w:t>
      </w:r>
    </w:p>
    <w:p>
      <w:pPr>
        <w:keepNext/>
        <w:spacing w:before="320" w:after="40"/>
        <w:pBdr>
          <w:bottom w:val="single" w:sz="10" w:space="4" w:color="0E7C86"/>
        </w:pBdr>
      </w:pPr>
      <w:r>
        <w:rPr>
          <w:rFonts w:ascii="Calibri" w:hAnsi="Calibri"/>
          <w:b/>
          <w:color w:val="0E7C86"/>
          <w:sz w:val="34"/>
        </w:rPr>
        <w:t xml:space="preserve">11  </w:t>
      </w:r>
      <w:r>
        <w:rPr>
          <w:rFonts w:ascii="Calibri" w:hAnsi="Calibri"/>
          <w:b/>
          <w:color w:val="102A54"/>
          <w:sz w:val="34"/>
        </w:rPr>
        <w:t>Перехід: тінь → рекомендації → обмежена автономність</w:t>
      </w:r>
    </w:p>
    <w:p>
      <w:pPr>
        <w:spacing w:after="120"/>
      </w:pPr>
      <w:r>
        <w:rPr>
          <w:rFonts w:ascii="Calibri" w:hAnsi="Calibri"/>
          <w:i w:val="0"/>
          <w:color w:val="141B2E"/>
          <w:sz w:val="21"/>
        </w:rPr>
        <w:t>Переходьте поступово. Кожен крок заслуговує наступний; записи OPC UA лишаються заблокованими, доки вся послідовність не пройдена.</w:t>
      </w:r>
    </w:p>
    <w:p>
      <w:pPr>
        <w:spacing w:after="60" w:line="269" w:lineRule="auto"/>
        <w:ind w:left="720" w:hanging="317"/>
      </w:pPr>
      <w:r>
        <w:rPr>
          <w:rFonts w:ascii="Calibri" w:hAnsi="Calibri"/>
          <w:b/>
          <w:color w:val="0E7C86"/>
          <w:sz w:val="21"/>
        </w:rPr>
        <w:t xml:space="preserve">1.  </w:t>
      </w:r>
      <w:r>
        <w:rPr>
          <w:rFonts w:ascii="Calibri" w:hAnsi="Calibri"/>
          <w:b/>
          <w:i w:val="0"/>
          <w:color w:val="141B2E"/>
          <w:sz w:val="21"/>
        </w:rPr>
        <w:t>Офлайн-відтворення.</w:t>
      </w:r>
      <w:r>
        <w:rPr>
          <w:rFonts w:ascii="Calibri" w:hAnsi="Calibri"/>
          <w:i w:val="0"/>
          <w:color w:val="141B2E"/>
          <w:sz w:val="21"/>
        </w:rPr>
        <w:t xml:space="preserve"> Аналізуйте експортовані дані історіана / OPC UA / MQTT без підключення до промислу. Видайте виявлені аномалії, хронологію подій, оцінений фінансовий вплив і перегляд хибних спрацювань.</w:t>
      </w:r>
    </w:p>
    <w:p>
      <w:pPr>
        <w:spacing w:after="60" w:line="269" w:lineRule="auto"/>
        <w:ind w:left="720" w:hanging="317"/>
      </w:pPr>
      <w:r>
        <w:rPr>
          <w:rFonts w:ascii="Calibri" w:hAnsi="Calibri"/>
          <w:b/>
          <w:color w:val="0E7C86"/>
          <w:sz w:val="21"/>
        </w:rPr>
        <w:t xml:space="preserve">2.  </w:t>
      </w:r>
      <w:r>
        <w:rPr>
          <w:rFonts w:ascii="Calibri" w:hAnsi="Calibri"/>
          <w:b/>
          <w:i w:val="0"/>
          <w:color w:val="141B2E"/>
          <w:sz w:val="21"/>
        </w:rPr>
        <w:t>Тіньовий пілот.</w:t>
      </w:r>
      <w:r>
        <w:rPr>
          <w:rFonts w:ascii="Calibri" w:hAnsi="Calibri"/>
          <w:i w:val="0"/>
          <w:color w:val="141B2E"/>
          <w:sz w:val="21"/>
        </w:rPr>
        <w:t xml:space="preserve"> Підключення до заводу лише для читання, без записів виконавчих механізмів. Порівняйте рекомендації з фактичними подальшими результатами й базовою лінією простого алгоритму.</w:t>
      </w:r>
    </w:p>
    <w:p>
      <w:pPr>
        <w:spacing w:after="60" w:line="269" w:lineRule="auto"/>
        <w:ind w:left="720" w:hanging="317"/>
      </w:pPr>
      <w:r>
        <w:rPr>
          <w:rFonts w:ascii="Calibri" w:hAnsi="Calibri"/>
          <w:b/>
          <w:color w:val="0E7C86"/>
          <w:sz w:val="21"/>
        </w:rPr>
        <w:t xml:space="preserve">3.  </w:t>
      </w:r>
      <w:r>
        <w:rPr>
          <w:rFonts w:ascii="Calibri" w:hAnsi="Calibri"/>
          <w:b/>
          <w:i w:val="0"/>
          <w:color w:val="141B2E"/>
          <w:sz w:val="21"/>
        </w:rPr>
        <w:t>Промислова рекомендаційна підписка.</w:t>
      </w:r>
      <w:r>
        <w:rPr>
          <w:rFonts w:ascii="Calibri" w:hAnsi="Calibri"/>
          <w:i w:val="0"/>
          <w:color w:val="141B2E"/>
          <w:sz w:val="21"/>
        </w:rPr>
        <w:t xml:space="preserve"> Видимі оператору рекомендації з економічним базисом, коли досягнуто бюджетів хибних спрацювань і цілей затримки.</w:t>
      </w:r>
    </w:p>
    <w:p>
      <w:pPr>
        <w:spacing w:after="60" w:line="269" w:lineRule="auto"/>
        <w:ind w:left="720" w:hanging="317"/>
      </w:pPr>
      <w:r>
        <w:rPr>
          <w:rFonts w:ascii="Calibri" w:hAnsi="Calibri"/>
          <w:b/>
          <w:color w:val="0E7C86"/>
          <w:sz w:val="21"/>
        </w:rPr>
        <w:t xml:space="preserve">4.  </w:t>
      </w:r>
      <w:r>
        <w:rPr>
          <w:rFonts w:ascii="Calibri" w:hAnsi="Calibri"/>
          <w:b/>
          <w:i w:val="0"/>
          <w:color w:val="141B2E"/>
          <w:sz w:val="21"/>
        </w:rPr>
        <w:t>Обмежена автономна оптимізація.</w:t>
      </w:r>
      <w:r>
        <w:rPr>
          <w:rFonts w:ascii="Calibri" w:hAnsi="Calibri"/>
          <w:i w:val="0"/>
          <w:color w:val="141B2E"/>
          <w:sz w:val="21"/>
        </w:rPr>
        <w:t xml:space="preserve"> Лише після суттєвих тіньових доказів і обґрунтування безпеки майданчика — вузько обмежені рекомендації чи команди уставок, що ніколи не замінюють інтерлоки PLC чи сертифіковану SIS.</w:t>
      </w:r>
    </w:p>
    <w:p>
      <w:pPr>
        <w:keepNext/>
        <w:spacing w:before="320" w:after="40"/>
        <w:pBdr>
          <w:bottom w:val="single" w:sz="10" w:space="4" w:color="0E7C86"/>
        </w:pBdr>
      </w:pPr>
      <w:r>
        <w:rPr>
          <w:rFonts w:ascii="Calibri" w:hAnsi="Calibri"/>
          <w:b/>
          <w:color w:val="0E7C86"/>
          <w:sz w:val="34"/>
        </w:rPr>
        <w:t xml:space="preserve">12  </w:t>
      </w:r>
      <w:r>
        <w:rPr>
          <w:rFonts w:ascii="Calibri" w:hAnsi="Calibri"/>
          <w:b/>
          <w:color w:val="102A54"/>
          <w:sz w:val="34"/>
        </w:rPr>
        <w:t>Моніторинг у промислі</w:t>
      </w:r>
    </w:p>
    <w:p>
      <w:pPr>
        <w:pStyle w:val="ListBullet"/>
        <w:spacing w:after="60" w:line="269" w:lineRule="auto"/>
        <w:ind w:left="403"/>
      </w:pPr>
      <w:r>
        <w:rPr>
          <w:rFonts w:ascii="Calibri" w:hAnsi="Calibri"/>
          <w:i w:val="0"/>
          <w:color w:val="141B2E"/>
          <w:sz w:val="21"/>
        </w:rPr>
        <w:t>Вимірювання, оброблені на джерело за хвилину; відкинуті, запізнілі, невпорядковані події.</w:t>
      </w:r>
    </w:p>
    <w:p>
      <w:pPr>
        <w:pStyle w:val="ListBullet"/>
        <w:spacing w:after="60" w:line="269" w:lineRule="auto"/>
        <w:ind w:left="403"/>
      </w:pPr>
      <w:r>
        <w:rPr>
          <w:rFonts w:ascii="Calibri" w:hAnsi="Calibri"/>
          <w:i w:val="0"/>
          <w:color w:val="141B2E"/>
          <w:sz w:val="21"/>
        </w:rPr>
        <w:t>Кількість рекомендацій на актив; рівень перегляду хибних; підтверджений рівень істинних позитивів.</w:t>
      </w:r>
    </w:p>
    <w:p>
      <w:pPr>
        <w:pStyle w:val="ListBullet"/>
        <w:spacing w:after="60" w:line="269" w:lineRule="auto"/>
        <w:ind w:left="403"/>
      </w:pPr>
      <w:r>
        <w:rPr>
          <w:rFonts w:ascii="Calibri" w:hAnsi="Calibri"/>
          <w:i w:val="0"/>
          <w:color w:val="141B2E"/>
          <w:sz w:val="21"/>
        </w:rPr>
        <w:t>Час випередження виявлення (наскільки раніше за можливу відмову чи тривогу).</w:t>
      </w:r>
    </w:p>
    <w:p>
      <w:pPr>
        <w:pStyle w:val="ListBullet"/>
        <w:spacing w:after="60" w:line="269" w:lineRule="auto"/>
        <w:ind w:left="403"/>
      </w:pPr>
      <w:r>
        <w:rPr>
          <w:rFonts w:ascii="Calibri" w:hAnsi="Calibri"/>
          <w:i w:val="0"/>
          <w:color w:val="141B2E"/>
          <w:sz w:val="21"/>
        </w:rPr>
        <w:t>Оцінки енергії та простою проти базової лінії простого алгоритму.</w:t>
      </w:r>
    </w:p>
    <w:p>
      <w:pPr>
        <w:pStyle w:val="ListBullet"/>
        <w:spacing w:after="60" w:line="269" w:lineRule="auto"/>
        <w:ind w:left="403"/>
      </w:pPr>
      <w:r>
        <w:rPr>
          <w:rFonts w:ascii="Calibri" w:hAnsi="Calibri"/>
          <w:i w:val="0"/>
          <w:color w:val="141B2E"/>
          <w:sz w:val="21"/>
        </w:rPr>
        <w:t xml:space="preserve">Версія моделі та </w:t>
      </w:r>
      <w:r>
        <w:rPr>
          <w:rFonts w:ascii="Consolas" w:hAnsi="Consolas"/>
          <w:color w:val="102A54"/>
          <w:sz w:val="20"/>
        </w:rPr>
        <w:t>trainingChecksum</w:t>
      </w:r>
      <w:r>
        <w:rPr>
          <w:rFonts w:ascii="Calibri" w:hAnsi="Calibri"/>
          <w:i w:val="0"/>
          <w:color w:val="141B2E"/>
          <w:sz w:val="21"/>
        </w:rPr>
        <w:t xml:space="preserve"> для кожної рекомендації; події інтерлоків і перевизначень.</w:t>
      </w:r>
    </w:p>
    <w:p>
      <w:pPr>
        <w:spacing w:after="120"/>
      </w:pPr>
      <w:r>
        <w:rPr>
          <w:rFonts w:ascii="Calibri" w:hAnsi="Calibri"/>
          <w:i w:val="0"/>
          <w:color w:val="141B2E"/>
          <w:sz w:val="21"/>
        </w:rPr>
        <w:t>Кожна рекомендація зберігає родовід: актив, сигнали, що долучилися, нейрон-власник, економічний базис, результат межі безпеки та твердження про межу керування.</w:t>
      </w:r>
    </w:p>
    <w:p>
      <w:pPr>
        <w:keepNext/>
        <w:spacing w:before="320" w:after="40"/>
        <w:pBdr>
          <w:bottom w:val="single" w:sz="10" w:space="4" w:color="0E7C86"/>
        </w:pBdr>
      </w:pPr>
      <w:r>
        <w:rPr>
          <w:rFonts w:ascii="Calibri" w:hAnsi="Calibri"/>
          <w:b/>
          <w:color w:val="0E7C86"/>
          <w:sz w:val="34"/>
        </w:rPr>
        <w:t xml:space="preserve">13  </w:t>
      </w:r>
      <w:r>
        <w:rPr>
          <w:rFonts w:ascii="Calibri" w:hAnsi="Calibri"/>
          <w:b/>
          <w:color w:val="102A54"/>
          <w:sz w:val="34"/>
        </w:rPr>
        <w:t>Безпека, відкат і пакування</w:t>
      </w:r>
    </w:p>
    <w:p>
      <w:pPr>
        <w:keepNext/>
        <w:spacing w:before="240" w:after="40"/>
      </w:pPr>
      <w:r>
        <w:rPr>
          <w:rFonts w:ascii="Calibri" w:hAnsi="Calibri"/>
          <w:b/>
          <w:color w:val="1C5D99"/>
          <w:sz w:val="26"/>
        </w:rPr>
        <w:t>Пакування</w:t>
      </w:r>
    </w:p>
    <w:p>
      <w:pPr>
        <w:pStyle w:val="ListBullet"/>
        <w:spacing w:after="60" w:line="269" w:lineRule="auto"/>
        <w:ind w:left="403"/>
      </w:pPr>
      <w:r>
        <w:rPr>
          <w:rFonts w:ascii="Calibri" w:hAnsi="Calibri"/>
          <w:i w:val="0"/>
          <w:color w:val="141B2E"/>
          <w:sz w:val="21"/>
        </w:rPr>
        <w:t xml:space="preserve">Згенерована тека артефактів (файли рівнів, модель, опис, </w:t>
      </w:r>
      <w:r>
        <w:rPr>
          <w:rFonts w:ascii="Consolas" w:hAnsi="Consolas"/>
          <w:color w:val="102A54"/>
          <w:sz w:val="20"/>
        </w:rPr>
        <w:t>production-context.json</w:t>
      </w:r>
      <w:r>
        <w:rPr>
          <w:rFonts w:ascii="Calibri" w:hAnsi="Calibri"/>
          <w:i w:val="0"/>
          <w:color w:val="141B2E"/>
          <w:sz w:val="21"/>
        </w:rPr>
        <w:t>).</w:t>
      </w:r>
    </w:p>
    <w:p>
      <w:pPr>
        <w:pStyle w:val="ListBullet"/>
        <w:spacing w:after="60" w:line="269" w:lineRule="auto"/>
        <w:ind w:left="403"/>
      </w:pPr>
      <w:r>
        <w:rPr>
          <w:rFonts w:ascii="Calibri" w:hAnsi="Calibri"/>
          <w:i w:val="0"/>
          <w:color w:val="141B2E"/>
          <w:sz w:val="21"/>
        </w:rPr>
        <w:t xml:space="preserve">SHA коміту Git, команда навчання, </w:t>
      </w:r>
      <w:r>
        <w:rPr>
          <w:rFonts w:ascii="Consolas" w:hAnsi="Consolas"/>
          <w:color w:val="102A54"/>
          <w:sz w:val="20"/>
        </w:rPr>
        <w:t>trainingChecksum</w:t>
      </w:r>
      <w:r>
        <w:rPr>
          <w:rFonts w:ascii="Calibri" w:hAnsi="Calibri"/>
          <w:i w:val="0"/>
          <w:color w:val="141B2E"/>
          <w:sz w:val="21"/>
        </w:rPr>
        <w:t>, контрольні суми згенерованих артефактів, запис погодження рекомендаційного розгортання та ідентифікатор пакета відкату.</w:t>
      </w:r>
    </w:p>
    <w:p>
      <w:pPr>
        <w:keepNext/>
        <w:spacing w:before="240" w:after="40"/>
      </w:pPr>
      <w:r>
        <w:rPr>
          <w:rFonts w:ascii="Calibri" w:hAnsi="Calibri"/>
          <w:b/>
          <w:color w:val="1C5D99"/>
          <w:sz w:val="26"/>
        </w:rPr>
        <w:t>Правила безпеки та відкату</w:t>
      </w:r>
    </w:p>
    <w:p>
      <w:pPr>
        <w:pStyle w:val="ListBullet"/>
        <w:spacing w:after="60" w:line="269" w:lineRule="auto"/>
        <w:ind w:left="403"/>
      </w:pPr>
      <w:r>
        <w:rPr>
          <w:rFonts w:ascii="Calibri" w:hAnsi="Calibri"/>
          <w:i w:val="0"/>
          <w:color w:val="141B2E"/>
          <w:sz w:val="21"/>
        </w:rPr>
        <w:t xml:space="preserve">Жорсткі запобіжники — фіксована конфігурація в </w:t>
      </w:r>
      <w:r>
        <w:rPr>
          <w:rFonts w:ascii="Consolas" w:hAnsi="Consolas"/>
          <w:color w:val="102A54"/>
          <w:sz w:val="20"/>
        </w:rPr>
        <w:t>layer-3-advisory-planning.json</w:t>
      </w:r>
      <w:r>
        <w:rPr>
          <w:rFonts w:ascii="Calibri" w:hAnsi="Calibri"/>
          <w:i w:val="0"/>
          <w:color w:val="141B2E"/>
          <w:sz w:val="21"/>
        </w:rPr>
        <w:t>, ніколи не навчені ваги; інтерлоки й перевизначення оператора лишаються авторитетними.</w:t>
      </w:r>
    </w:p>
    <w:p>
      <w:pPr>
        <w:pStyle w:val="ListBullet"/>
        <w:spacing w:after="60" w:line="269" w:lineRule="auto"/>
        <w:ind w:left="403"/>
      </w:pPr>
      <w:r>
        <w:rPr>
          <w:rFonts w:ascii="Calibri" w:hAnsi="Calibri"/>
          <w:i w:val="0"/>
          <w:color w:val="141B2E"/>
          <w:sz w:val="21"/>
        </w:rPr>
        <w:t>Тримайте попередній пакет мережі доступним для негайного відкату.</w:t>
      </w:r>
    </w:p>
    <w:p>
      <w:pPr>
        <w:pStyle w:val="ListBullet"/>
        <w:spacing w:after="60" w:line="269" w:lineRule="auto"/>
        <w:ind w:left="403"/>
      </w:pPr>
      <w:r>
        <w:rPr>
          <w:rFonts w:ascii="Calibri" w:hAnsi="Calibri"/>
          <w:i w:val="0"/>
          <w:color w:val="141B2E"/>
          <w:sz w:val="21"/>
        </w:rPr>
        <w:t>Відкочуйте, якщо хибні спрацювання перевищують бюджет, покриття джерел падає або базову лінію простого алгоритму більше не перевершено.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FBF1E0"/>
          <w:left w:val="single" w:sz="4" w:space="0" w:color="FBF1E0"/>
          <w:bottom w:val="single" w:sz="4" w:space="0" w:color="FBF1E0"/>
          <w:right w:val="single" w:sz="4" w:space="0" w:color="FBF1E0"/>
          <w:insideH w:val="single" w:sz="4" w:space="0" w:color="FBF1E0"/>
          <w:insideV w:val="single" w:sz="4" w:space="0" w:color="FBF1E0"/>
        </w:tblBorders>
      </w:tblPr>
      <w:tblGrid>
        <w:gridCol w:w="9173"/>
      </w:tblGrid>
      <w:tr>
        <w:tc>
          <w:tcPr>
            <w:tcW w:type="dxa" w:w="9173"/>
            <w:shd w:val="clear" w:color="auto" w:fill="FBF1E0"/>
            <w:tcMar>
              <w:top w:w="120" w:type="dxa"/>
              <w:bottom w:w="120" w:type="dxa"/>
              <w:start w:w="160" w:type="dxa"/>
              <w:end w:w="160" w:type="dxa"/>
            </w:tcMar>
            <w:tcBorders>
              <w:left w:val="single" w:sz="24" w:space="0" w:color="C88A1A"/>
            </w:tcBorders>
          </w:tcPr>
          <w:p>
            <w:pPr>
              <w:spacing w:after="60"/>
            </w:pPr>
            <w:r>
              <w:rPr>
                <w:rFonts w:ascii="Calibri" w:hAnsi="Calibri"/>
                <w:b/>
                <w:color w:val="C88A1A"/>
                <w:sz w:val="21"/>
              </w:rPr>
              <w:t>Чесне обмеження</w:t>
            </w:r>
          </w:p>
          <w:p>
            <w:pPr>
              <w:spacing w:after="0"/>
            </w:pPr>
            <w:r>
              <w:rPr>
                <w:rFonts w:ascii="Calibri" w:hAnsi="Calibri"/>
                <w:i w:val="0"/>
                <w:color w:val="141B2E"/>
                <w:sz w:val="20"/>
              </w:rPr>
              <w:t>Вбудована еталонна мережа навчена на синтетичному детермінованому корпусі скіда. Вона чудова для відтворюваних доказів конвеєра та регресії межі безпеки, але це доказ симуляції/HIL — не сертифікований контролер безпеки. Вона не замінює валідацію PLC/SIS, аналіз небезпек, керування змінами чи приймальні випробування на майданчику. Реальна точність потребує валідації на зовнішніх даних історіана, CMMS та лічильників енергії.</w:t>
            </w:r>
          </w:p>
        </w:tc>
      </w:tr>
    </w:tbl>
    <w:p>
      <w:pPr>
        <w:spacing w:after="0" w:before="0"/>
      </w:pPr>
      <w:r>
        <w:rPr>
          <w:sz w:val="12"/>
        </w:rPr>
      </w:r>
    </w:p>
    <w:p>
      <w:pPr>
        <w:keepNext/>
        <w:spacing w:before="320" w:after="40"/>
        <w:pBdr>
          <w:bottom w:val="single" w:sz="10" w:space="4" w:color="0E7C86"/>
        </w:pBdr>
      </w:pPr>
      <w:r>
        <w:rPr>
          <w:rFonts w:ascii="Calibri" w:hAnsi="Calibri"/>
          <w:b/>
          <w:color w:val="0E7C86"/>
          <w:sz w:val="34"/>
        </w:rPr>
        <w:t xml:space="preserve">14  </w:t>
      </w:r>
      <w:r>
        <w:rPr>
          <w:rFonts w:ascii="Calibri" w:hAnsi="Calibri"/>
          <w:b/>
          <w:color w:val="102A54"/>
          <w:sz w:val="34"/>
        </w:rPr>
        <w:t>Усунення несправностей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DBE5"/>
          <w:left w:val="single" w:sz="4" w:space="0" w:color="D6DBE5"/>
          <w:bottom w:val="single" w:sz="4" w:space="0" w:color="D6DBE5"/>
          <w:right w:val="single" w:sz="4" w:space="0" w:color="D6DBE5"/>
          <w:insideH w:val="single" w:sz="4" w:space="0" w:color="D6DBE5"/>
          <w:insideV w:val="single" w:sz="4" w:space="0" w:color="D6DBE5"/>
        </w:tblBorders>
      </w:tblPr>
      <w:tblGrid>
        <w:gridCol w:w="4586"/>
        <w:gridCol w:w="4586"/>
      </w:tblGrid>
      <w:tr>
        <w:tc>
          <w:tcPr>
            <w:tcW w:type="dxa" w:w="4320"/>
            <w:shd w:val="clear" w:color="auto" w:fill="0E7C8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Симптом</w:t>
            </w:r>
          </w:p>
        </w:tc>
        <w:tc>
          <w:tcPr>
            <w:tcW w:type="dxa" w:w="5472"/>
            <w:shd w:val="clear" w:color="auto" w:fill="0E7C8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Імовірна причина й виправлення</w:t>
            </w:r>
          </w:p>
        </w:tc>
      </w:tr>
      <w:tr>
        <w:tc>
          <w:tcPr>
            <w:tcW w:type="dxa" w:w="4320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02A54"/>
                <w:sz w:val="18"/>
              </w:rPr>
              <w:t>Cannot find class … in provided jar</w:t>
            </w:r>
          </w:p>
        </w:tc>
        <w:tc>
          <w:tcPr>
            <w:tcW w:type="dxa" w:w="5472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 xml:space="preserve">Бракує класу з </w:t>
            </w:r>
            <w:r>
              <w:rPr>
                <w:rFonts w:ascii="Consolas" w:hAnsi="Consolas"/>
                <w:color w:val="102A54"/>
                <w:sz w:val="18"/>
              </w:rPr>
              <w:t>configuration.neuronnet.classes</w:t>
            </w:r>
            <w:r>
              <w:rPr>
                <w:rFonts w:ascii="Calibri" w:hAnsi="Calibri"/>
                <w:i w:val="0"/>
                <w:color w:val="141B2E"/>
                <w:sz w:val="19"/>
              </w:rPr>
              <w:t xml:space="preserve"> — перезберіть JAR розгортання</w:t>
            </w:r>
          </w:p>
        </w:tc>
      </w:tr>
      <w:tr>
        <w:tc>
          <w:tcPr>
            <w:tcW w:type="dxa" w:w="4320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Worker стартує, але нічого не видає</w:t>
            </w:r>
          </w:p>
        </w:tc>
        <w:tc>
          <w:tcPr>
            <w:tcW w:type="dxa" w:w="5472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 xml:space="preserve">Перевірте </w:t>
            </w:r>
            <w:r>
              <w:rPr>
                <w:rFonts w:ascii="Consolas" w:hAnsi="Consolas"/>
                <w:color w:val="102A54"/>
                <w:sz w:val="18"/>
              </w:rPr>
              <w:t>clazz</w:t>
            </w:r>
            <w:r>
              <w:rPr>
                <w:rFonts w:ascii="Calibri" w:hAnsi="Calibri"/>
                <w:i w:val="0"/>
                <w:color w:val="141B2E"/>
                <w:sz w:val="19"/>
              </w:rPr>
              <w:t xml:space="preserve"> джерела подій і що </w:t>
            </w:r>
            <w:r>
              <w:rPr>
                <w:rFonts w:ascii="Consolas" w:hAnsi="Consolas"/>
                <w:color w:val="102A54"/>
                <w:sz w:val="18"/>
              </w:rPr>
              <w:t>readSignals()</w:t>
            </w:r>
            <w:r>
              <w:rPr>
                <w:rFonts w:ascii="Calibri" w:hAnsi="Calibri"/>
                <w:i w:val="0"/>
                <w:color w:val="141B2E"/>
                <w:sz w:val="19"/>
              </w:rPr>
              <w:t xml:space="preserve"> повертає типізовані сигнали</w:t>
            </w:r>
          </w:p>
        </w:tc>
      </w:tr>
      <w:tr>
        <w:tc>
          <w:tcPr>
            <w:tcW w:type="dxa" w:w="4320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Структуру не завантажено</w:t>
            </w:r>
          </w:p>
        </w:tc>
        <w:tc>
          <w:tcPr>
            <w:tcW w:type="dxa" w:w="5472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 xml:space="preserve">Переконайтеся, що </w:t>
            </w:r>
            <w:r>
              <w:rPr>
                <w:rFonts w:ascii="Consolas" w:hAnsi="Consolas"/>
                <w:color w:val="102A54"/>
                <w:sz w:val="18"/>
              </w:rPr>
              <w:t>configuration.input.layermeta</w:t>
            </w:r>
            <w:r>
              <w:rPr>
                <w:rFonts w:ascii="Calibri" w:hAnsi="Calibri"/>
                <w:i w:val="0"/>
                <w:color w:val="141B2E"/>
                <w:sz w:val="19"/>
              </w:rPr>
              <w:t xml:space="preserve"> вказує на згенеровану теку рівнів</w:t>
            </w:r>
          </w:p>
        </w:tc>
      </w:tr>
      <w:tr>
        <w:tc>
          <w:tcPr>
            <w:tcW w:type="dxa" w:w="4320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Worker одразу завершується</w:t>
            </w:r>
          </w:p>
        </w:tc>
        <w:tc>
          <w:tcPr>
            <w:tcW w:type="dxa" w:w="5472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 xml:space="preserve">Для живого наглядача встановіть </w:t>
            </w:r>
            <w:r>
              <w:rPr>
                <w:rFonts w:ascii="Consolas" w:hAnsi="Consolas"/>
                <w:color w:val="102A54"/>
                <w:sz w:val="18"/>
              </w:rPr>
              <w:t>infiniteRun=true</w:t>
            </w:r>
            <w:r>
              <w:rPr>
                <w:rFonts w:ascii="Calibri" w:hAnsi="Calibri"/>
                <w:i w:val="0"/>
                <w:color w:val="141B2E"/>
                <w:sz w:val="19"/>
              </w:rPr>
              <w:t xml:space="preserve">; </w:t>
            </w:r>
            <w:r>
              <w:rPr>
                <w:rFonts w:ascii="Consolas" w:hAnsi="Consolas"/>
                <w:color w:val="102A54"/>
                <w:sz w:val="18"/>
              </w:rPr>
              <w:t>maxRun</w:t>
            </w:r>
            <w:r>
              <w:rPr>
                <w:rFonts w:ascii="Calibri" w:hAnsi="Calibri"/>
                <w:i w:val="0"/>
                <w:color w:val="141B2E"/>
                <w:sz w:val="19"/>
              </w:rPr>
              <w:t xml:space="preserve"> — для обмеженого відтворення</w:t>
            </w:r>
          </w:p>
        </w:tc>
      </w:tr>
      <w:tr>
        <w:tc>
          <w:tcPr>
            <w:tcW w:type="dxa" w:w="4320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Рекомендація намагається керувати</w:t>
            </w:r>
          </w:p>
        </w:tc>
        <w:tc>
          <w:tcPr>
            <w:tcW w:type="dxa" w:w="5472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 xml:space="preserve">Перевірте </w:t>
            </w:r>
            <w:r>
              <w:rPr>
                <w:rFonts w:ascii="Consolas" w:hAnsi="Consolas"/>
                <w:color w:val="102A54"/>
                <w:sz w:val="18"/>
              </w:rPr>
              <w:t>industrial.autonomousAction=false</w:t>
            </w:r>
            <w:r>
              <w:rPr>
                <w:rFonts w:ascii="Calibri" w:hAnsi="Calibri"/>
                <w:i w:val="0"/>
                <w:color w:val="141B2E"/>
                <w:sz w:val="19"/>
              </w:rPr>
              <w:t xml:space="preserve"> і що рівень відповіді ADVISORY</w:t>
            </w:r>
          </w:p>
        </w:tc>
      </w:tr>
      <w:tr>
        <w:tc>
          <w:tcPr>
            <w:tcW w:type="dxa" w:w="4320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Застарілі ваги під час роботи</w:t>
            </w:r>
          </w:p>
        </w:tc>
        <w:tc>
          <w:tcPr>
            <w:tcW w:type="dxa" w:w="5472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Ви розгорнули стару теку рівнів; розгорніть найновіший навчений пакет</w:t>
            </w:r>
          </w:p>
        </w:tc>
      </w:tr>
    </w:tbl>
    <w:p>
      <w:pPr>
        <w:spacing w:after="0" w:before="0"/>
      </w:pPr>
      <w:r>
        <w:rPr>
          <w:sz w:val="12"/>
        </w:rPr>
      </w:r>
    </w:p>
    <w:p>
      <w:pPr>
        <w:keepNext/>
        <w:spacing w:before="320" w:after="40"/>
        <w:pBdr>
          <w:bottom w:val="single" w:sz="10" w:space="4" w:color="0E7C86"/>
        </w:pBdr>
      </w:pPr>
      <w:r>
        <w:rPr>
          <w:rFonts w:ascii="Calibri" w:hAnsi="Calibri"/>
          <w:b/>
          <w:color w:val="0E7C86"/>
          <w:sz w:val="34"/>
        </w:rPr>
        <w:t xml:space="preserve">15  </w:t>
      </w:r>
      <w:r>
        <w:rPr>
          <w:rFonts w:ascii="Calibri" w:hAnsi="Calibri"/>
          <w:b/>
          <w:color w:val="102A54"/>
          <w:sz w:val="34"/>
        </w:rPr>
        <w:t>Додаток — шпаргалка розгортання</w:t>
      </w:r>
    </w:p>
    <w:p>
      <w:pPr>
        <w:keepNext/>
        <w:spacing w:before="180" w:after="20"/>
      </w:pPr>
      <w:r>
        <w:rPr>
          <w:rFonts w:ascii="Calibri" w:hAnsi="Calibri"/>
          <w:b/>
          <w:color w:val="0E7C86"/>
          <w:sz w:val="22"/>
        </w:rPr>
        <w:t>Запуск промислового рекомендаційного worker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173"/>
      </w:tblGrid>
      <w:tr>
        <w:tc>
          <w:tcPr>
            <w:tcW w:type="dxa" w:w="9173"/>
            <w:shd w:val="clear" w:color="auto" w:fill="0E1A2B"/>
            <w:tcMar>
              <w:top w:w="90" w:type="dxa"/>
              <w:bottom w:w="90" w:type="dxa"/>
              <w:start w:w="140" w:type="dxa"/>
              <w:end w:w="140" w:type="dxa"/>
            </w:tcMar>
          </w:tcPr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>java -cp worker/target/worker-jar-with-dependencies.jar \</w:t>
            </w:r>
          </w:p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 xml:space="preserve">  com.rakovpublic.jneuropallium.worker.application.Entry \</w:t>
            </w:r>
          </w:p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 xml:space="preserve">  local file:///opt/jneopallium/industrial-loop-guardian.jar \</w:t>
            </w:r>
          </w:p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 xml:space="preserve">  com.rakovpublic.jneuropallium.worker.demo.fullrun.runtime.DemoJsonContext \</w:t>
            </w:r>
          </w:p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 xml:space="preserve">  /opt/jneopallium/model/industrial-loop-guardian/production-context.json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pPr>
        <w:keepNext/>
        <w:spacing w:before="180" w:after="20"/>
      </w:pPr>
      <w:r>
        <w:rPr>
          <w:rFonts w:ascii="Calibri" w:hAnsi="Calibri"/>
          <w:b/>
          <w:color w:val="0E7C86"/>
          <w:sz w:val="22"/>
        </w:rPr>
        <w:t>Основи контексту рекомендаційного worker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173"/>
      </w:tblGrid>
      <w:tr>
        <w:tc>
          <w:tcPr>
            <w:tcW w:type="dxa" w:w="9173"/>
            <w:shd w:val="clear" w:color="auto" w:fill="0E1A2B"/>
            <w:tcMar>
              <w:top w:w="90" w:type="dxa"/>
              <w:bottom w:w="90" w:type="dxa"/>
              <w:start w:w="140" w:type="dxa"/>
              <w:end w:w="140" w:type="dxa"/>
            </w:tcMar>
          </w:tcPr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>configuration.input.layermeta   = model/industrial-loop-guardian/</w:t>
            </w:r>
          </w:p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>configuration.isteacherstudying = false</w:t>
            </w:r>
          </w:p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>configuration.discriminatorsAmount = 0</w:t>
            </w:r>
          </w:p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>configuration.infiniteRun       = true</w:t>
            </w:r>
          </w:p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>configuration.runoncein         = 1</w:t>
            </w:r>
          </w:p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>industrial.autonomousAction     = false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pPr>
        <w:spacing w:after="0" w:before="0"/>
      </w:pPr>
      <w:r>
        <w:rPr>
          <w:sz w:val="16"/>
        </w:rPr>
      </w:r>
    </w:p>
    <w:p>
      <w:pPr>
        <w:spacing w:after="120"/>
      </w:pPr>
      <w:r>
        <w:rPr>
          <w:rFonts w:ascii="Calibri" w:hAnsi="Calibri"/>
          <w:i/>
          <w:color w:val="0E7C86"/>
          <w:sz w:val="21"/>
        </w:rPr>
        <w:t>Jneopallium Industrial Loop Guardian · Посібник з розгортання. Споживає мережу, створену Посібником з навчання. Наглядовий над PLC/PID/SIS. Режим безпеки: ADVISORY. Записи OPC UA потребують окремого обґрунтування безпеки майданчика. Ліцензія: BSD 3-Clause.</w:t>
      </w:r>
    </w:p>
    <w:sectPr w:rsidR="00FC693F" w:rsidRPr="0006063C" w:rsidSect="00034616">
      <w:footerReference w:type="default" r:id="rId9"/>
      <w:pgSz w:w="11909" w:h="16834"/>
      <w:pgMar w:top="1296" w:right="1368" w:bottom="1296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color w:val="8A93A6"/>
        <w:sz w:val="16"/>
      </w:rPr>
      <w:t>Jneopallium · Industrial Loop Guardian · Наглядовий шар над PLC/PID/SIS · ADVISORY</w:t>
    </w:r>
    <w:r>
      <w:rPr>
        <w:sz w:val="16"/>
      </w:rPr>
      <w:t xml:space="preserve">    </w:t>
    </w:r>
    <w:r>
      <w:rPr>
        <w:color w:val="8A93A6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Calibri" w:hAnsi="Calibri"/>
      <w:color w:val="141B2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