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184"/>
      </w:tblGrid>
      <w:tr>
        <w:tc>
          <w:tcPr>
            <w:tcW w:type="dxa" w:w="17184"/>
            <w:shd w:val="clear" w:color="auto" w:fill="102A54"/>
            <w:tcMar>
              <w:top w:w="900" w:type="dxa"/>
              <w:bottom w:w="900" w:type="dxa"/>
              <w:start w:w="420" w:type="dxa"/>
              <w:end w:w="420" w:type="dxa"/>
            </w:tcMar>
          </w:tcPr>
          <w:p>
            <w:pPr>
              <w:spacing w:after="120"/>
            </w:pPr>
            <w:r>
              <w:rPr>
                <w:b/>
                <w:color w:val="8FC2F0"/>
                <w:sz w:val="30"/>
              </w:rPr>
              <w:t>JNEOPALLIUM · INDUSTRIAL LOOP GUARDIAN</w:t>
            </w:r>
          </w:p>
          <w:p>
            <w:pPr>
              <w:spacing w:after="160"/>
            </w:pPr>
            <w:r>
              <w:rPr>
                <w:b/>
                <w:color w:val="FFFFFF"/>
                <w:sz w:val="80"/>
              </w:rPr>
              <w:t>Your Plant Already Sends the Signals. Start Reading Them.</w:t>
            </w:r>
          </w:p>
          <w:p>
            <w:r>
              <w:rPr>
                <w:color w:val="CFDCEE"/>
                <w:sz w:val="36"/>
              </w:rPr>
              <w:t>Cross-loop, cross-timescale operational intelligence from your existing OPC UA &amp; MQTT telemetry</w:t>
            </w:r>
          </w:p>
        </w:tc>
      </w:tr>
    </w:tbl>
    <w:p>
      <w:pPr>
        <w:spacing w:before="320"/>
      </w:pPr>
      <w:r>
        <w:rPr>
          <w:color w:val="555F70"/>
          <w:sz w:val="22"/>
        </w:rPr>
        <w:t>On-premises · Shadow → Advisory · Supervisory above PLC/PID/SIS · BSD-3 core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01  </w:t>
      </w:r>
      <w:r>
        <w:rPr>
          <w:b/>
          <w:color w:val="102A54"/>
          <w:sz w:val="52"/>
        </w:rPr>
        <w:t>Your PID holds the variable. The plant still loses money.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The expensive problems are the ones no single loop can see.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A pump wears out over </w:t>
      </w:r>
      <w:r>
        <w:rPr>
          <w:b/>
          <w:color w:val="102A54"/>
          <w:sz w:val="29"/>
        </w:rPr>
        <w:t>weeks</w:t>
      </w:r>
      <w:r>
        <w:rPr>
          <w:color w:val="141B2E"/>
          <w:sz w:val="29"/>
        </w:rPr>
        <w:t xml:space="preserve"> — the "bearing &gt; 85 °C" alarm fires only after the damage.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Three controllers each behave correctly while together </w:t>
      </w:r>
      <w:r>
        <w:rPr>
          <w:b/>
          <w:color w:val="102A54"/>
          <w:sz w:val="29"/>
        </w:rPr>
        <w:t>wasting energy</w:t>
      </w:r>
      <w:r>
        <w:rPr>
          <w:color w:val="141B2E"/>
          <w:sz w:val="29"/>
        </w:rPr>
        <w:t xml:space="preserve"> no loop detects.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The same rising temperature is normal at startup and alarming at steady state — </w:t>
      </w:r>
      <w:r>
        <w:rPr>
          <w:b/>
          <w:color w:val="102A54"/>
          <w:sz w:val="29"/>
        </w:rPr>
        <w:t>nuisance alarms</w:t>
      </w:r>
      <w:r>
        <w:rPr>
          <w:color w:val="141B2E"/>
          <w:sz w:val="29"/>
        </w:rPr>
        <w:t>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Is the process hotter, or is one sensor drifting? Majority voting </w:t>
      </w:r>
      <w:r>
        <w:rPr>
          <w:b/>
          <w:color w:val="102A54"/>
          <w:sz w:val="29"/>
        </w:rPr>
        <w:t>can't tell</w:t>
      </w:r>
      <w:r>
        <w:rPr>
          <w:color w:val="141B2E"/>
          <w:sz w:val="29"/>
        </w:rPr>
        <w:t>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Each of these is a decision across </w:t>
      </w:r>
      <w:r>
        <w:rPr>
          <w:b/>
          <w:color w:val="102A54"/>
          <w:sz w:val="29"/>
        </w:rPr>
        <w:t>several signals on different timescales</w:t>
      </w:r>
      <w:r>
        <w:rPr>
          <w:color w:val="141B2E"/>
          <w:sz w:val="29"/>
        </w:rPr>
        <w:t xml:space="preserve"> — not a single loop.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02  </w:t>
      </w:r>
      <w:r>
        <w:rPr>
          <w:b/>
          <w:color w:val="102A54"/>
          <w:sz w:val="52"/>
        </w:rPr>
        <w:t>We supervise. We don't replace.</w:t>
      </w:r>
    </w:p>
    <w:p>
      <w:pPr>
        <w:pBdr>
          <w:bottom w:val="single" w:sz="12" w:space="2" w:color="1C5D99"/>
        </w:pBdr>
        <w:spacing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592"/>
        <w:gridCol w:w="8592"/>
      </w:tblGrid>
      <w:tr>
        <w:tc>
          <w:tcPr>
            <w:tcW w:type="dxa" w:w="8496"/>
            <w:shd w:val="clear" w:color="auto" w:fill="F8E9E9"/>
            <w:tcMar>
              <w:top w:w="140" w:type="dxa"/>
              <w:bottom w:w="160" w:type="dxa"/>
              <w:start w:w="18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B12A2A"/>
                <w:sz w:val="30"/>
              </w:rPr>
              <w:t>Keep — unchanged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PLC / PID / SIS deterministic control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Hard interlocks and emergency shutdown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Your existing OPC UA &amp; MQTT telemetry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Operator overrides, authoritative</w:t>
            </w:r>
          </w:p>
        </w:tc>
        <w:tc>
          <w:tcPr>
            <w:tcW w:type="dxa" w:w="8496"/>
            <w:shd w:val="clear" w:color="auto" w:fill="E8F3EC"/>
            <w:tcMar>
              <w:top w:w="140" w:type="dxa"/>
              <w:bottom w:w="160" w:type="dxa"/>
              <w:start w:w="18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1F7A3D"/>
                <w:sz w:val="30"/>
              </w:rPr>
              <w:t>Add — Loop Guardian (above)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Multi-loop, multi-timescale diagnosis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Energy &amp; bounded setpoint optimisation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Degradation prediction &amp; maintenance planning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Advisories with an **economic basis**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03  </w:t>
      </w:r>
      <w:r>
        <w:rPr>
          <w:b/>
          <w:color w:val="102A54"/>
          <w:sz w:val="52"/>
        </w:rPr>
        <w:t>It watches across timescales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A single neuron weighs the instant against the trend.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Every tick:</w:t>
      </w:r>
      <w:r>
        <w:rPr>
          <w:color w:val="141B2E"/>
          <w:sz w:val="29"/>
        </w:rPr>
        <w:t xml:space="preserve"> flow, pressure, interlock state, pump command vs. actual speed — immediate condition.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Every 5–10 ticks:</w:t>
      </w:r>
      <w:r>
        <w:rPr>
          <w:color w:val="141B2E"/>
          <w:sz w:val="29"/>
        </w:rPr>
        <w:t xml:space="preserve"> vibration RMS — mechanical anomaly.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Every 10 ticks:</w:t>
      </w:r>
      <w:r>
        <w:rPr>
          <w:color w:val="141B2E"/>
          <w:sz w:val="29"/>
        </w:rPr>
        <w:t xml:space="preserve"> bearing temperature, power — thermal condition and efficiency.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Every 50+ ticks:</w:t>
      </w:r>
      <w:r>
        <w:rPr>
          <w:color w:val="141B2E"/>
          <w:sz w:val="29"/>
        </w:rPr>
        <w:t xml:space="preserve"> production load, degradation, maintenance schedule — operating and planning context.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A PID sees one variable now. The Loop Guardian sees the </w:t>
      </w:r>
      <w:r>
        <w:rPr>
          <w:b/>
          <w:color w:val="102A54"/>
          <w:sz w:val="29"/>
        </w:rPr>
        <w:t>whole asset over time</w:t>
      </w:r>
      <w:r>
        <w:rPr>
          <w:color w:val="141B2E"/>
          <w:sz w:val="29"/>
        </w:rPr>
        <w:t>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04  </w:t>
      </w:r>
      <w:r>
        <w:rPr>
          <w:b/>
          <w:color w:val="102A54"/>
          <w:sz w:val="52"/>
        </w:rPr>
        <w:t>Four detectors that pay for themselves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Narrow, high-value, and already trained in the demo.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Pump wear &amp; cavitation risk</w:t>
      </w:r>
      <w:r>
        <w:rPr>
          <w:color w:val="141B2E"/>
          <w:sz w:val="29"/>
        </w:rPr>
        <w:t xml:space="preserve"> — distinguishes real degradation from a temporary high load.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Control-loop oscillation &amp; tuning degradation</w:t>
      </w:r>
      <w:r>
        <w:rPr>
          <w:color w:val="141B2E"/>
          <w:sz w:val="29"/>
        </w:rPr>
        <w:t xml:space="preserve"> — separates valve stiction from normal transients.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Temperature-sensor drift</w:t>
      </w:r>
      <w:r>
        <w:rPr>
          <w:color w:val="141B2E"/>
          <w:sz w:val="29"/>
        </w:rPr>
        <w:t xml:space="preserve"> — tells a drifting sensor from a genuine process rise, avoiding a needless trip.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Energy-per-unit-production deterioration</w:t>
      </w:r>
      <w:r>
        <w:rPr>
          <w:color w:val="141B2E"/>
          <w:sz w:val="29"/>
        </w:rPr>
        <w:t xml:space="preserve"> — flags a loop that holds its variable while wasting energy.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05  </w:t>
      </w:r>
      <w:r>
        <w:rPr>
          <w:b/>
          <w:color w:val="102A54"/>
          <w:sz w:val="52"/>
        </w:rPr>
        <w:t>Now it also hears and feels your machines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New: a multimodal machine-health subsystem — acoustic + vibration condition monitoring.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Listens and feels</w:t>
      </w:r>
      <w:r>
        <w:rPr>
          <w:color w:val="141B2E"/>
          <w:sz w:val="29"/>
        </w:rPr>
        <w:t xml:space="preserve"> — turns sound and vibration into a calibrated health score and named faults.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Names the fault</w:t>
      </w:r>
      <w:r>
        <w:rPr>
          <w:color w:val="141B2E"/>
          <w:sz w:val="29"/>
        </w:rPr>
        <w:t xml:space="preserve"> — bearing damage, cavitation, imbalance, sensor fault, or an unknown anomaly.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Knows when it's unsure</w:t>
      </w:r>
      <w:r>
        <w:rPr>
          <w:color w:val="141B2E"/>
          <w:sz w:val="29"/>
        </w:rPr>
        <w:t xml:space="preserve"> — a domain-shift score and an uncertainty value, so an unfamiliar machine reads as "not sure," not a false alarm.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Learns from public benchmarks</w:t>
      </w:r>
      <w:r>
        <w:rPr>
          <w:color w:val="141B2E"/>
          <w:sz w:val="29"/>
        </w:rPr>
        <w:t xml:space="preserve"> — MIMII, DCASE, and the Paderborn bearing dataset, plus your own telemetry once reviewed.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Read-only by construction</w:t>
      </w:r>
      <w:r>
        <w:rPr>
          <w:color w:val="141B2E"/>
          <w:sz w:val="29"/>
        </w:rPr>
        <w:t xml:space="preserve"> — it advises; it never touches an actuator.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06  </w:t>
      </w:r>
      <w:r>
        <w:rPr>
          <w:b/>
          <w:color w:val="102A54"/>
          <w:sz w:val="52"/>
        </w:rPr>
        <w:t>Every advisory carries its economic basis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Not just "there's a problem" — what it is, why, and what it's worth.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>`finding`: pump wear and cavitation risk · `confidence`: 0.73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>`evidence`: PumpHealthAndEfficiencyNeuron, max vibration 4.3 mm/s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>`recommendation`: SCHEDULE_PUMP_INSPECTION · `urgencyHours`: 48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`economicBasis`: estimated avoided-shutdown value </w:t>
      </w:r>
      <w:r>
        <w:rPr>
          <w:b/>
          <w:color w:val="102A54"/>
          <w:sz w:val="29"/>
        </w:rPr>
        <w:t>$20,000</w:t>
      </w:r>
      <w:r>
        <w:rPr>
          <w:color w:val="141B2E"/>
          <w:sz w:val="29"/>
        </w:rPr>
        <w:t>, safety envelope satisfied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`autonomousAction`: </w:t>
      </w:r>
      <w:r>
        <w:rPr>
          <w:b/>
          <w:color w:val="102A54"/>
          <w:sz w:val="29"/>
        </w:rPr>
        <w:t>false</w:t>
      </w:r>
      <w:r>
        <w:rPr>
          <w:color w:val="141B2E"/>
          <w:sz w:val="29"/>
        </w:rPr>
        <w:t xml:space="preserve"> — and the PLC/PID/SIS boundary is stated in every record.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07  </w:t>
      </w:r>
      <w:r>
        <w:rPr>
          <w:b/>
          <w:color w:val="102A54"/>
          <w:sz w:val="52"/>
        </w:rPr>
        <w:t>The profitability is simple to compute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Annual value V = Energy + Downtime + Quality + Maintenance + Operator − Cost. Illustrative example: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Energy: 2% of an $800k bill  →  </w:t>
      </w:r>
      <w:r>
        <w:rPr>
          <w:b/>
          <w:color w:val="102A54"/>
          <w:sz w:val="29"/>
        </w:rPr>
        <w:t>$16,000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Avoided shutdowns: 2 × $20,000  →  </w:t>
      </w:r>
      <w:r>
        <w:rPr>
          <w:b/>
          <w:color w:val="102A54"/>
          <w:sz w:val="29"/>
        </w:rPr>
        <w:t>$40,000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Reduced maintenance / scrap  →  </w:t>
      </w:r>
      <w:r>
        <w:rPr>
          <w:b/>
          <w:color w:val="102A54"/>
          <w:sz w:val="29"/>
        </w:rPr>
        <w:t>$15,000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Gross annual value  →  </w:t>
      </w:r>
      <w:r>
        <w:rPr>
          <w:b/>
          <w:color w:val="102A54"/>
          <w:sz w:val="29"/>
        </w:rPr>
        <w:t>$71,000</w:t>
      </w:r>
      <w:r>
        <w:rPr>
          <w:color w:val="141B2E"/>
          <w:sz w:val="29"/>
        </w:rPr>
        <w:t xml:space="preserve">  ·  platform &amp; support  →  −$20,000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Net annual value ≈ $51,000.</w:t>
      </w:r>
      <w:r>
        <w:rPr>
          <w:color w:val="141B2E"/>
          <w:sz w:val="29"/>
        </w:rPr>
        <w:t xml:space="preserve"> Price the product at ~10–20% of verified savings.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08  </w:t>
      </w:r>
      <w:r>
        <w:rPr>
          <w:b/>
          <w:color w:val="102A54"/>
          <w:sz w:val="52"/>
        </w:rPr>
        <w:t>Proof: the pipeline works</w:t>
      </w:r>
    </w:p>
    <w:p>
      <w:pPr>
        <w:pBdr>
          <w:bottom w:val="single" w:sz="12" w:space="2" w:color="1C5D99"/>
        </w:pBdr>
        <w:spacing w:after="160"/>
      </w:pPr>
    </w:p>
    <w:p>
      <w:pPr>
        <w:spacing w:after="200"/>
      </w:pPr>
      <w:r>
        <w:rPr>
          <w:i/>
          <w:color w:val="1C5D99"/>
          <w:sz w:val="30"/>
        </w:rPr>
        <w:t>Near-perfect separation on the reference skid — machinery proven, ready for your data.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96"/>
        <w:gridCol w:w="4296"/>
        <w:gridCol w:w="4296"/>
        <w:gridCol w:w="4296"/>
      </w:tblGrid>
      <w:tr>
        <w:tc>
          <w:tcPr>
            <w:tcW w:type="dxa" w:w="4296"/>
            <w:shd w:val="clear" w:color="auto" w:fill="EAF1F9"/>
            <w:tcMar>
              <w:top w:w="180" w:type="dxa"/>
              <w:bottom w:w="6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02A54"/>
                <w:sz w:val="60"/>
              </w:rPr>
              <w:t>0.9995</w:t>
            </w:r>
          </w:p>
        </w:tc>
        <w:tc>
          <w:tcPr>
            <w:tcW w:type="dxa" w:w="4296"/>
            <w:shd w:val="clear" w:color="auto" w:fill="EAF1F9"/>
            <w:tcMar>
              <w:top w:w="180" w:type="dxa"/>
              <w:bottom w:w="6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02A54"/>
                <w:sz w:val="60"/>
              </w:rPr>
              <w:t>~0.0005</w:t>
            </w:r>
          </w:p>
        </w:tc>
        <w:tc>
          <w:tcPr>
            <w:tcW w:type="dxa" w:w="4296"/>
            <w:shd w:val="clear" w:color="auto" w:fill="EAF1F9"/>
            <w:tcMar>
              <w:top w:w="180" w:type="dxa"/>
              <w:bottom w:w="6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02A54"/>
                <w:sz w:val="60"/>
              </w:rPr>
              <w:t>1.0</w:t>
            </w:r>
          </w:p>
        </w:tc>
        <w:tc>
          <w:tcPr>
            <w:tcW w:type="dxa" w:w="4296"/>
            <w:shd w:val="clear" w:color="auto" w:fill="EAF1F9"/>
            <w:tcMar>
              <w:top w:w="180" w:type="dxa"/>
              <w:bottom w:w="6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02A54"/>
                <w:sz w:val="60"/>
              </w:rPr>
              <w:t>0.1 s</w:t>
            </w:r>
          </w:p>
        </w:tc>
      </w:tr>
      <w:tr>
        <w:tc>
          <w:tcPr>
            <w:tcW w:type="dxa" w:w="4296"/>
            <w:shd w:val="clear" w:color="auto" w:fill="EAF1F9"/>
            <w:tcMar>
              <w:top w:w="0" w:type="dxa"/>
              <w:bottom w:w="1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color w:val="555F70"/>
                <w:sz w:val="22"/>
              </w:rPr>
              <w:t>Macro-F1 across</w:t>
              <w:br/>
              <w:t>the four detectors</w:t>
            </w:r>
          </w:p>
        </w:tc>
        <w:tc>
          <w:tcPr>
            <w:tcW w:type="dxa" w:w="4296"/>
            <w:shd w:val="clear" w:color="auto" w:fill="EAF1F9"/>
            <w:tcMar>
              <w:top w:w="0" w:type="dxa"/>
              <w:bottom w:w="1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color w:val="555F70"/>
                <w:sz w:val="22"/>
              </w:rPr>
              <w:t>Macro false-</w:t>
              <w:br/>
              <w:t>positive rate</w:t>
            </w:r>
          </w:p>
        </w:tc>
        <w:tc>
          <w:tcPr>
            <w:tcW w:type="dxa" w:w="4296"/>
            <w:shd w:val="clear" w:color="auto" w:fill="EAF1F9"/>
            <w:tcMar>
              <w:top w:w="0" w:type="dxa"/>
              <w:bottom w:w="1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color w:val="555F70"/>
                <w:sz w:val="22"/>
              </w:rPr>
              <w:t>Fast-control availability</w:t>
              <w:br/>
              <w:t>through an MQTT outage</w:t>
            </w:r>
          </w:p>
        </w:tc>
        <w:tc>
          <w:tcPr>
            <w:tcW w:type="dxa" w:w="4296"/>
            <w:shd w:val="clear" w:color="auto" w:fill="EAF1F9"/>
            <w:tcMar>
              <w:top w:w="0" w:type="dxa"/>
              <w:bottom w:w="1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color w:val="555F70"/>
                <w:sz w:val="22"/>
              </w:rPr>
              <w:t>Hard interlock latency</w:t>
              <w:br/>
              <w:t>(owned by PLC/SIS)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09  </w:t>
      </w:r>
      <w:r>
        <w:rPr>
          <w:b/>
          <w:color w:val="102A54"/>
          <w:sz w:val="52"/>
        </w:rPr>
        <w:t>Safe by construction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Easy to demonstrate, validate, insure, and sell.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Advisory by default.</w:t>
      </w:r>
      <w:r>
        <w:rPr>
          <w:color w:val="141B2E"/>
          <w:sz w:val="29"/>
        </w:rPr>
        <w:t xml:space="preserve"> It recommends; PLC/PID/SIS and operators decide. It never trips the plant.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Deterministic controls stay authoritative</w:t>
      </w:r>
      <w:r>
        <w:rPr>
          <w:color w:val="141B2E"/>
          <w:sz w:val="29"/>
        </w:rPr>
        <w:t xml:space="preserve"> — interlocks and overrides outrank any suggestion.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MQTT cannot actuate</w:t>
      </w:r>
      <w:r>
        <w:rPr>
          <w:color w:val="141B2E"/>
          <w:sz w:val="29"/>
        </w:rPr>
        <w:t xml:space="preserve"> (AUTONOMOUS is structurally rejected); only a bounded OPC UA path can command.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Fail-safe on loss:</w:t>
      </w:r>
      <w:r>
        <w:rPr>
          <w:color w:val="141B2E"/>
          <w:sz w:val="29"/>
        </w:rPr>
        <w:t xml:space="preserve"> lose the supervisor and fast control stays up; lose OPC UA and local fail-safe applies.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It is </w:t>
      </w:r>
      <w:r>
        <w:rPr>
          <w:b/>
          <w:color w:val="102A54"/>
          <w:sz w:val="29"/>
        </w:rPr>
        <w:t>simulation/HIL evidence</w:t>
      </w:r>
      <w:r>
        <w:rPr>
          <w:color w:val="141B2E"/>
          <w:sz w:val="29"/>
        </w:rPr>
        <w:t xml:space="preserve"> today — not a certified SIS, and it never claims to be.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10  </w:t>
      </w:r>
      <w:r>
        <w:rPr>
          <w:b/>
          <w:color w:val="102A54"/>
          <w:sz w:val="52"/>
        </w:rPr>
        <w:t>Land and expand — paid at every step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A low-risk path from a data export to a recurring subscription. (Indicative pricing.)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Phase A — Offline replay.</w:t>
      </w:r>
      <w:r>
        <w:rPr>
          <w:color w:val="141B2E"/>
          <w:sz w:val="29"/>
        </w:rPr>
        <w:t xml:space="preserve"> Analyse a historian export; deliver anomalies, timeline, and €-impact. </w:t>
      </w:r>
      <w:r>
        <w:rPr>
          <w:b/>
          <w:color w:val="102A54"/>
          <w:sz w:val="29"/>
        </w:rPr>
        <w:t>€3–8k / assessment.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Phase B — Shadow pilot.</w:t>
      </w:r>
      <w:r>
        <w:rPr>
          <w:color w:val="141B2E"/>
          <w:sz w:val="29"/>
        </w:rPr>
        <w:t xml:space="preserve"> Read-only, no writes, 6–12 weeks; compare against real outcomes. </w:t>
      </w:r>
      <w:r>
        <w:rPr>
          <w:b/>
          <w:color w:val="102A54"/>
          <w:sz w:val="29"/>
        </w:rPr>
        <w:t>€7.5–20k</w:t>
      </w:r>
      <w:r>
        <w:rPr>
          <w:color w:val="141B2E"/>
          <w:sz w:val="29"/>
        </w:rPr>
        <w:t>, credited to year one.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Phase C — Production advisory subscription.</w:t>
      </w:r>
      <w:r>
        <w:rPr>
          <w:color w:val="141B2E"/>
          <w:sz w:val="29"/>
        </w:rPr>
        <w:t xml:space="preserve"> Operator-visible advisories, one edge deployment. </w:t>
      </w:r>
      <w:r>
        <w:rPr>
          <w:b/>
          <w:color w:val="102A54"/>
          <w:sz w:val="29"/>
        </w:rPr>
        <w:t>€15–40k / site / year.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Phase D — Bounded autonomous optimisation.</w:t>
      </w:r>
      <w:r>
        <w:rPr>
          <w:color w:val="141B2E"/>
          <w:sz w:val="29"/>
        </w:rPr>
        <w:t xml:space="preserve"> Only after evidence + a site safety case. </w:t>
      </w:r>
      <w:r>
        <w:rPr>
          <w:b/>
          <w:color w:val="102A54"/>
          <w:sz w:val="29"/>
        </w:rPr>
        <w:t>€30–100k+ / site / year.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11  </w:t>
      </w:r>
      <w:r>
        <w:rPr>
          <w:b/>
          <w:color w:val="102A54"/>
          <w:sz w:val="52"/>
        </w:rPr>
        <w:t>Where we don't compete — and where we do</w:t>
      </w:r>
    </w:p>
    <w:p>
      <w:pPr>
        <w:pBdr>
          <w:bottom w:val="single" w:sz="12" w:space="2" w:color="1C5D99"/>
        </w:pBdr>
        <w:spacing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592"/>
        <w:gridCol w:w="8592"/>
      </w:tblGrid>
      <w:tr>
        <w:tc>
          <w:tcPr>
            <w:tcW w:type="dxa" w:w="8496"/>
            <w:shd w:val="clear" w:color="auto" w:fill="F8E9E9"/>
            <w:tcMar>
              <w:top w:w="140" w:type="dxa"/>
              <w:bottom w:w="160" w:type="dxa"/>
              <w:start w:w="18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B12A2A"/>
                <w:sz w:val="30"/>
              </w:rPr>
              <w:t>Keep your PID (low/no value)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A single stable regulatory loop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Hard interlocks &amp; emergency shutdown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"pressure &gt; limit → shut valve"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Cheap downtime, little telemetry</w:t>
            </w:r>
          </w:p>
        </w:tc>
        <w:tc>
          <w:tcPr>
            <w:tcW w:type="dxa" w:w="8496"/>
            <w:shd w:val="clear" w:color="auto" w:fill="E8F3EC"/>
            <w:tcMar>
              <w:top w:w="140" w:type="dxa"/>
              <w:bottom w:w="160" w:type="dxa"/>
              <w:start w:w="18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1F7A3D"/>
                <w:sz w:val="30"/>
              </w:rPr>
              <w:t>Add Loop Guardian (high value)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Predictive maintenance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Oscillation &amp; sensor-fault diagnosis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Energy / setpoint optimisation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Batch-context anomaly detection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12  </w:t>
      </w:r>
      <w:r>
        <w:rPr>
          <w:b/>
          <w:color w:val="102A54"/>
          <w:sz w:val="52"/>
        </w:rPr>
        <w:t>Built to fit the plant you already run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On-premises, open core, integrator-friendly.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Reads what you already produce</w:t>
      </w:r>
      <w:r>
        <w:rPr>
          <w:color w:val="141B2E"/>
          <w:sz w:val="29"/>
        </w:rPr>
        <w:t xml:space="preserve"> — OPC UA process tags and MQTT IIoT telemetry; optional Kafka, CMMS, energy meters.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On-premises edge deployment</w:t>
      </w:r>
      <w:r>
        <w:rPr>
          <w:color w:val="141B2E"/>
          <w:sz w:val="29"/>
        </w:rPr>
        <w:t xml:space="preserve"> — local, HTTP cluster, or gRPC; no cloud required.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Open BSD-3 core</w:t>
      </w:r>
      <w:r>
        <w:rPr>
          <w:color w:val="141B2E"/>
          <w:sz w:val="29"/>
        </w:rPr>
        <w:t xml:space="preserve"> — no lock-in; the moat is the model packs, integrations, and support, not the engine.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Integrator channel</w:t>
      </w:r>
      <w:r>
        <w:rPr>
          <w:color w:val="141B2E"/>
          <w:sz w:val="29"/>
        </w:rPr>
        <w:t xml:space="preserve"> — you bring the plant relationship; we bring the supervisory intelligence and releases.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Train-to-deploy in one step</w:t>
      </w:r>
      <w:r>
        <w:rPr>
          <w:color w:val="141B2E"/>
          <w:sz w:val="29"/>
        </w:rPr>
        <w:t xml:space="preserve"> — what you train is the exact network you run; every weight is inspectable.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184"/>
      </w:tblGrid>
      <w:tr>
        <w:tc>
          <w:tcPr>
            <w:tcW w:type="dxa" w:w="17184"/>
            <w:shd w:val="clear" w:color="auto" w:fill="102A54"/>
            <w:tcMar>
              <w:top w:w="520" w:type="dxa"/>
              <w:bottom w:w="520" w:type="dxa"/>
              <w:start w:w="420" w:type="dxa"/>
              <w:end w:w="420" w:type="dxa"/>
            </w:tcMar>
          </w:tcPr>
          <w:p>
            <w:pPr>
              <w:spacing w:after="160"/>
            </w:pPr>
            <w:r>
              <w:rPr>
                <w:b/>
                <w:color w:val="FFFFFF"/>
                <w:sz w:val="64"/>
              </w:rPr>
              <w:t>Send us your data. We'll show you the money.</w:t>
            </w:r>
          </w:p>
          <w:p>
            <w:pPr>
              <w:spacing w:after="80"/>
            </w:pPr>
            <w:r>
              <w:rPr>
                <w:color w:val="CFDCEE"/>
                <w:sz w:val="30"/>
              </w:rPr>
              <w:t>Export an anonymised historian sample, or point us at a simulated OPC UA endpoint.</w:t>
            </w:r>
          </w:p>
          <w:p>
            <w:pPr>
              <w:spacing w:after="80"/>
            </w:pPr>
            <w:r>
              <w:rPr>
                <w:color w:val="CFDCEE"/>
                <w:sz w:val="30"/>
              </w:rPr>
              <w:t>We return discovered anomalies, an event timeline, an estimated €-impact, and a false-positive review.</w:t>
            </w:r>
          </w:p>
          <w:p>
            <w:pPr>
              <w:spacing w:after="80"/>
            </w:pPr>
            <w:r>
              <w:rPr>
                <w:color w:val="CFDCEE"/>
                <w:sz w:val="30"/>
              </w:rPr>
              <w:t>Open-source demo today · paid assessment in weeks · shadow pilot next quarter.</w:t>
            </w:r>
          </w:p>
          <w:p>
            <w:pPr>
              <w:spacing w:before="200"/>
            </w:pPr>
            <w:r>
              <w:rPr>
                <w:b/>
                <w:color w:val="8FC2F0"/>
                <w:sz w:val="36"/>
              </w:rPr>
              <w:t>Book a paid operational assessment.</w:t>
            </w:r>
          </w:p>
        </w:tc>
      </w:tr>
    </w:tbl>
    <w:p>
      <w:pPr>
        <w:spacing w:before="280"/>
      </w:pPr>
      <w:r>
        <w:rPr>
          <w:color w:val="555F70"/>
          <w:sz w:val="22"/>
        </w:rPr>
        <w:t>Dmytro Rakovskyi · Kharkiv, Ukraine</w:t>
      </w:r>
      <w:r>
        <w:rPr>
          <w:color w:val="555F70"/>
          <w:sz w:val="22"/>
        </w:rPr>
        <w:t xml:space="preserve">    |    github.com/rakovpublic/jneopallium</w:t>
      </w:r>
      <w:r>
        <w:rPr>
          <w:color w:val="555F70"/>
          <w:sz w:val="22"/>
        </w:rPr>
        <w:t xml:space="preserve">    |    IJSR 13(7), 2024 · DOI 10.21275/SR24703042047</w:t>
      </w:r>
    </w:p>
    <w:sectPr w:rsidR="00FC693F" w:rsidRPr="0006063C" w:rsidSect="00034616">
      <w:pgSz w:w="19200" w:h="10800" w:orient="landscape"/>
      <w:pgMar w:top="792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41B2E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