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INDUSTRIAL LOOP GUARDIAN</w:t>
            </w:r>
          </w:p>
          <w:p>
            <w:pPr>
              <w:spacing w:after="40"/>
            </w:pPr>
            <w:r>
              <w:rPr>
                <w:rFonts w:ascii="Calibri" w:hAnsi="Calibri"/>
                <w:color w:val="B9C6DA"/>
                <w:sz w:val="18"/>
              </w:rPr>
              <w:t>TEST REPORT</w:t>
            </w:r>
          </w:p>
        </w:tc>
      </w:tr>
    </w:tbl>
    <w:p>
      <w:pPr>
        <w:spacing w:after="0" w:before="0"/>
      </w:pPr>
      <w:r>
        <w:rPr>
          <w:sz w:val="40"/>
        </w:rPr>
      </w:r>
    </w:p>
    <w:p>
      <w:pPr>
        <w:spacing w:after="80"/>
      </w:pPr>
      <w:r>
        <w:rPr>
          <w:rFonts w:ascii="Calibri" w:hAnsi="Calibri"/>
          <w:b/>
          <w:color w:val="102A54"/>
          <w:sz w:val="60"/>
        </w:rPr>
        <w:t>Complete Test Report</w:t>
      </w:r>
    </w:p>
    <w:p>
      <w:pPr>
        <w:spacing w:after="200"/>
      </w:pPr>
      <w:r>
        <w:rPr>
          <w:rFonts w:ascii="Calibri" w:hAnsi="Calibri"/>
          <w:color w:val="1C5D99"/>
          <w:sz w:val="28"/>
        </w:rPr>
        <w:t>FMI Skid Demo — model quality, scenario behaviour, evidence, and an honest reading</w:t>
      </w:r>
    </w:p>
    <w:p>
      <w:pPr>
        <w:pBdr>
          <w:bottom w:val="single" w:sz="10" w:space="4" w:color="102A54"/>
        </w:pBdr>
      </w:pPr>
    </w:p>
    <w:p>
      <w:pPr>
        <w:spacing w:after="0" w:before="0"/>
      </w:pPr>
      <w:r>
        <w:rPr>
          <w:sz w:val="16"/>
        </w:rPr>
      </w:r>
    </w:p>
    <w:p>
      <w:pPr>
        <w:spacing w:after="120"/>
      </w:pPr>
      <w:r>
        <w:rPr>
          <w:rFonts w:ascii="Calibri" w:hAnsi="Calibri"/>
          <w:i/>
          <w:color w:val="555F70"/>
          <w:sz w:val="23"/>
        </w:rPr>
        <w:t>What was tested, how it performed, and — stated plainly and up front — exactly what the results do and do not prove. Written so a non-specialist can read every number with confidence.</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Document</w:t>
            </w:r>
          </w:p>
        </w:tc>
        <w:tc>
          <w:tcPr>
            <w:tcW w:type="dxa" w:w="4586"/>
            <w:tcMar>
              <w:top w:w="40" w:type="dxa"/>
              <w:bottom w:w="40" w:type="dxa"/>
              <w:start w:w="0" w:type="dxa"/>
              <w:end w:w="0" w:type="dxa"/>
            </w:tcMar>
          </w:tcPr>
          <w:p>
            <w:pPr>
              <w:spacing w:after="0"/>
            </w:pPr>
            <w:r>
              <w:rPr>
                <w:rFonts w:ascii="Calibri" w:hAnsi="Calibri"/>
                <w:color w:val="141B2E"/>
                <w:sz w:val="19"/>
              </w:rPr>
              <w:t>Verification &amp; Test Report</w:t>
            </w:r>
          </w:p>
        </w:tc>
      </w:tr>
      <w:tr>
        <w:tc>
          <w:tcPr>
            <w:tcW w:type="dxa" w:w="4586"/>
            <w:tcMar>
              <w:top w:w="40" w:type="dxa"/>
              <w:bottom w:w="40" w:type="dxa"/>
              <w:start w:w="0" w:type="dxa"/>
              <w:end w:w="120" w:type="dxa"/>
            </w:tcMar>
          </w:tcPr>
          <w:p>
            <w:pPr>
              <w:spacing w:after="0"/>
            </w:pPr>
            <w:r>
              <w:rPr>
                <w:rFonts w:ascii="Calibri" w:hAnsi="Calibri"/>
                <w:b/>
                <w:color w:val="555F70"/>
                <w:sz w:val="19"/>
              </w:rPr>
              <w:t>Product</w:t>
            </w:r>
          </w:p>
        </w:tc>
        <w:tc>
          <w:tcPr>
            <w:tcW w:type="dxa" w:w="4586"/>
            <w:tcMar>
              <w:top w:w="40" w:type="dxa"/>
              <w:bottom w:w="40" w:type="dxa"/>
              <w:start w:w="0" w:type="dxa"/>
              <w:end w:w="0" w:type="dxa"/>
            </w:tcMar>
          </w:tcPr>
          <w:p>
            <w:pPr>
              <w:spacing w:after="0"/>
            </w:pPr>
            <w:r>
              <w:rPr>
                <w:rFonts w:ascii="Calibri" w:hAnsi="Calibri"/>
                <w:color w:val="141B2E"/>
                <w:sz w:val="19"/>
              </w:rPr>
              <w:t>Jneopallium Industrial Loop Guardian (FMI Skid Demo)</w:t>
            </w:r>
          </w:p>
        </w:tc>
      </w:tr>
      <w:tr>
        <w:tc>
          <w:tcPr>
            <w:tcW w:type="dxa" w:w="4586"/>
            <w:tcMar>
              <w:top w:w="40" w:type="dxa"/>
              <w:bottom w:w="40" w:type="dxa"/>
              <w:start w:w="0" w:type="dxa"/>
              <w:end w:w="120" w:type="dxa"/>
            </w:tcMar>
          </w:tcPr>
          <w:p>
            <w:pPr>
              <w:spacing w:after="0"/>
            </w:pPr>
            <w:r>
              <w:rPr>
                <w:rFonts w:ascii="Calibri" w:hAnsi="Calibri"/>
                <w:b/>
                <w:color w:val="555F70"/>
                <w:sz w:val="19"/>
              </w:rPr>
              <w:t>Model</w:t>
            </w:r>
          </w:p>
        </w:tc>
        <w:tc>
          <w:tcPr>
            <w:tcW w:type="dxa" w:w="4586"/>
            <w:tcMar>
              <w:top w:w="40" w:type="dxa"/>
              <w:bottom w:w="40" w:type="dxa"/>
              <w:start w:w="0" w:type="dxa"/>
              <w:end w:w="0" w:type="dxa"/>
            </w:tcMar>
          </w:tcPr>
          <w:p>
            <w:pPr>
              <w:spacing w:after="0"/>
            </w:pPr>
            <w:r>
              <w:rPr>
                <w:rFonts w:ascii="Calibri" w:hAnsi="Calibri"/>
                <w:color w:val="141B2E"/>
                <w:sz w:val="19"/>
              </w:rPr>
              <w:t>industrial-loop-guardian 1.0.0-reference-maintenance-energy</w:t>
            </w:r>
          </w:p>
        </w:tc>
      </w:tr>
      <w:tr>
        <w:tc>
          <w:tcPr>
            <w:tcW w:type="dxa" w:w="4586"/>
            <w:tcMar>
              <w:top w:w="40" w:type="dxa"/>
              <w:bottom w:w="40" w:type="dxa"/>
              <w:start w:w="0" w:type="dxa"/>
              <w:end w:w="120" w:type="dxa"/>
            </w:tcMar>
          </w:tcPr>
          <w:p>
            <w:pPr>
              <w:spacing w:after="0"/>
            </w:pPr>
            <w:r>
              <w:rPr>
                <w:rFonts w:ascii="Calibri" w:hAnsi="Calibri"/>
                <w:b/>
                <w:color w:val="555F70"/>
                <w:sz w:val="19"/>
              </w:rPr>
              <w:t>Test scope</w:t>
            </w:r>
          </w:p>
        </w:tc>
        <w:tc>
          <w:tcPr>
            <w:tcW w:type="dxa" w:w="4586"/>
            <w:tcMar>
              <w:top w:w="40" w:type="dxa"/>
              <w:bottom w:w="40" w:type="dxa"/>
              <w:start w:w="0" w:type="dxa"/>
              <w:end w:w="0" w:type="dxa"/>
            </w:tcMar>
          </w:tcPr>
          <w:p>
            <w:pPr>
              <w:spacing w:after="0"/>
            </w:pPr>
            <w:r>
              <w:rPr>
                <w:rFonts w:ascii="Calibri" w:hAnsi="Calibri"/>
                <w:color w:val="141B2E"/>
                <w:sz w:val="19"/>
              </w:rPr>
              <w:t>Model quality, scenario behaviour, safety boundary, scale</w:t>
            </w:r>
          </w:p>
        </w:tc>
      </w:tr>
      <w:tr>
        <w:tc>
          <w:tcPr>
            <w:tcW w:type="dxa" w:w="4586"/>
            <w:tcMar>
              <w:top w:w="40" w:type="dxa"/>
              <w:bottom w:w="40" w:type="dxa"/>
              <w:start w:w="0" w:type="dxa"/>
              <w:end w:w="120" w:type="dxa"/>
            </w:tcMar>
          </w:tcPr>
          <w:p>
            <w:pPr>
              <w:spacing w:after="0"/>
            </w:pPr>
            <w:r>
              <w:rPr>
                <w:rFonts w:ascii="Calibri" w:hAnsi="Calibri"/>
                <w:b/>
                <w:color w:val="555F70"/>
                <w:sz w:val="19"/>
              </w:rPr>
              <w:t>Result</w:t>
            </w:r>
          </w:p>
        </w:tc>
        <w:tc>
          <w:tcPr>
            <w:tcW w:type="dxa" w:w="4586"/>
            <w:tcMar>
              <w:top w:w="40" w:type="dxa"/>
              <w:bottom w:w="40" w:type="dxa"/>
              <w:start w:w="0" w:type="dxa"/>
              <w:end w:w="0" w:type="dxa"/>
            </w:tcMar>
          </w:tcPr>
          <w:p>
            <w:pPr>
              <w:spacing w:after="0"/>
            </w:pPr>
            <w:r>
              <w:rPr>
                <w:rFonts w:ascii="Calibri" w:hAnsi="Calibri"/>
                <w:color w:val="141B2E"/>
                <w:sz w:val="19"/>
              </w:rPr>
              <w:t>All checks passed (reference skid corpus)</w:t>
            </w:r>
          </w:p>
        </w:tc>
      </w:tr>
      <w:tr>
        <w:tc>
          <w:tcPr>
            <w:tcW w:type="dxa" w:w="4586"/>
            <w:tcMar>
              <w:top w:w="40" w:type="dxa"/>
              <w:bottom w:w="40" w:type="dxa"/>
              <w:start w:w="0" w:type="dxa"/>
              <w:end w:w="120" w:type="dxa"/>
            </w:tcMar>
          </w:tcPr>
          <w:p>
            <w:pPr>
              <w:spacing w:after="0"/>
            </w:pPr>
            <w:r>
              <w:rPr>
                <w:rFonts w:ascii="Calibri" w:hAnsi="Calibri"/>
                <w:b/>
                <w:color w:val="555F70"/>
                <w:sz w:val="19"/>
              </w:rPr>
              <w:t>Author</w:t>
            </w:r>
          </w:p>
        </w:tc>
        <w:tc>
          <w:tcPr>
            <w:tcW w:type="dxa" w:w="4586"/>
            <w:tcMar>
              <w:top w:w="40" w:type="dxa"/>
              <w:bottom w:w="40" w:type="dxa"/>
              <w:start w:w="0" w:type="dxa"/>
              <w:end w:w="0" w:type="dxa"/>
            </w:tcMar>
          </w:tcPr>
          <w:p>
            <w:pPr>
              <w:spacing w:after="0"/>
            </w:pPr>
            <w:r>
              <w:rPr>
                <w:rFonts w:ascii="Calibri" w:hAnsi="Calibri"/>
                <w:color w:val="141B2E"/>
                <w:sz w:val="19"/>
              </w:rPr>
              <w:t>Dmytro Rakovskyi — Kharkiv, Ukraine</w:t>
            </w:r>
          </w:p>
        </w:tc>
      </w:tr>
      <w:tr>
        <w:tc>
          <w:tcPr>
            <w:tcW w:type="dxa" w:w="4586"/>
            <w:tcMar>
              <w:top w:w="40" w:type="dxa"/>
              <w:bottom w:w="40" w:type="dxa"/>
              <w:start w:w="0" w:type="dxa"/>
              <w:end w:w="120" w:type="dxa"/>
            </w:tcMar>
          </w:tcPr>
          <w:p>
            <w:pPr>
              <w:spacing w:after="0"/>
            </w:pPr>
            <w:r>
              <w:rPr>
                <w:rFonts w:ascii="Calibri" w:hAnsi="Calibri"/>
                <w:b/>
                <w:color w:val="555F70"/>
                <w:sz w:val="19"/>
              </w:rPr>
              <w:t>Date</w:t>
            </w:r>
          </w:p>
        </w:tc>
        <w:tc>
          <w:tcPr>
            <w:tcW w:type="dxa" w:w="4586"/>
            <w:tcMar>
              <w:top w:w="40" w:type="dxa"/>
              <w:bottom w:w="40" w:type="dxa"/>
              <w:start w:w="0" w:type="dxa"/>
              <w:end w:w="0" w:type="dxa"/>
            </w:tcMar>
          </w:tcPr>
          <w:p>
            <w:pPr>
              <w:spacing w:after="0"/>
            </w:pPr>
            <w:r>
              <w:rPr>
                <w:rFonts w:ascii="Calibri" w:hAnsi="Calibri"/>
                <w:color w:val="141B2E"/>
                <w:sz w:val="19"/>
              </w:rPr>
              <w:t>23 June 2026</w:t>
            </w:r>
          </w:p>
        </w:tc>
      </w:tr>
      <w:tr>
        <w:tc>
          <w:tcPr>
            <w:tcW w:type="dxa" w:w="2448"/>
            <w:tcMar>
              <w:top w:w="40" w:type="dxa"/>
              <w:bottom w:w="40" w:type="dxa"/>
              <w:start w:w="0" w:type="dxa"/>
              <w:end w:w="120" w:type="dxa"/>
            </w:tcMar>
          </w:tcPr>
          <w:p>
            <w:pPr>
              <w:spacing w:after="0"/>
            </w:pPr>
            <w:r>
              <w:rPr>
                <w:rFonts w:ascii="Calibri" w:hAnsi="Calibri"/>
                <w:b/>
                <w:color w:val="555F70"/>
                <w:sz w:val="19"/>
              </w:rPr>
              <w:t>License</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102A54"/>
        </w:pBdr>
      </w:pPr>
      <w:r>
        <w:rPr>
          <w:rFonts w:ascii="Calibri" w:hAnsi="Calibri"/>
          <w:b/>
          <w:color w:val="102A54"/>
          <w:sz w:val="34"/>
        </w:rPr>
        <w:t>Contents</w:t>
      </w:r>
    </w:p>
    <w:p>
      <w:pPr>
        <w:spacing w:after="80"/>
        <w:ind w:left="144"/>
      </w:pPr>
      <w:r>
        <w:rPr>
          <w:rFonts w:ascii="Calibri" w:hAnsi="Calibri"/>
          <w:b/>
          <w:color w:val="102A54"/>
          <w:sz w:val="21"/>
        </w:rPr>
        <w:t xml:space="preserve"> 1.  </w:t>
      </w:r>
      <w:r>
        <w:rPr>
          <w:rFonts w:ascii="Calibri" w:hAnsi="Calibri"/>
          <w:color w:val="141B2E"/>
          <w:sz w:val="21"/>
        </w:rPr>
        <w:t>Executive summary of results</w:t>
      </w:r>
    </w:p>
    <w:p>
      <w:pPr>
        <w:spacing w:after="80"/>
        <w:ind w:left="144"/>
      </w:pPr>
      <w:r>
        <w:rPr>
          <w:rFonts w:ascii="Calibri" w:hAnsi="Calibri"/>
          <w:b/>
          <w:color w:val="102A54"/>
          <w:sz w:val="21"/>
        </w:rPr>
        <w:t xml:space="preserve"> 2.  </w:t>
      </w:r>
      <w:r>
        <w:rPr>
          <w:rFonts w:ascii="Calibri" w:hAnsi="Calibri"/>
          <w:color w:val="141B2E"/>
          <w:sz w:val="21"/>
        </w:rPr>
        <w:t>What we tested, and why</w:t>
      </w:r>
    </w:p>
    <w:p>
      <w:pPr>
        <w:spacing w:after="80"/>
        <w:ind w:left="144"/>
      </w:pPr>
      <w:r>
        <w:rPr>
          <w:rFonts w:ascii="Calibri" w:hAnsi="Calibri"/>
          <w:b/>
          <w:color w:val="102A54"/>
          <w:sz w:val="21"/>
        </w:rPr>
        <w:t xml:space="preserve"> 3.  </w:t>
      </w:r>
      <w:r>
        <w:rPr>
          <w:rFonts w:ascii="Calibri" w:hAnsi="Calibri"/>
          <w:color w:val="141B2E"/>
          <w:sz w:val="21"/>
        </w:rPr>
        <w:t>Test environment</w:t>
      </w:r>
    </w:p>
    <w:p>
      <w:pPr>
        <w:spacing w:after="80"/>
        <w:ind w:left="144"/>
      </w:pPr>
      <w:r>
        <w:rPr>
          <w:rFonts w:ascii="Calibri" w:hAnsi="Calibri"/>
          <w:b/>
          <w:color w:val="102A54"/>
          <w:sz w:val="21"/>
        </w:rPr>
        <w:t xml:space="preserve"> 4.  </w:t>
      </w:r>
      <w:r>
        <w:rPr>
          <w:rFonts w:ascii="Calibri" w:hAnsi="Calibri"/>
          <w:color w:val="141B2E"/>
          <w:sz w:val="21"/>
        </w:rPr>
        <w:t>A plain-language primer on the metrics</w:t>
      </w:r>
    </w:p>
    <w:p>
      <w:pPr>
        <w:spacing w:after="80"/>
        <w:ind w:left="144"/>
      </w:pPr>
      <w:r>
        <w:rPr>
          <w:rFonts w:ascii="Calibri" w:hAnsi="Calibri"/>
          <w:b/>
          <w:color w:val="102A54"/>
          <w:sz w:val="21"/>
        </w:rPr>
        <w:t xml:space="preserve"> 5.  </w:t>
      </w:r>
      <w:r>
        <w:rPr>
          <w:rFonts w:ascii="Calibri" w:hAnsi="Calibri"/>
          <w:color w:val="141B2E"/>
          <w:sz w:val="21"/>
        </w:rPr>
        <w:t>Layer 1 — Diagnostic-head model quality</w:t>
      </w:r>
    </w:p>
    <w:p>
      <w:pPr>
        <w:spacing w:after="80"/>
        <w:ind w:left="144"/>
      </w:pPr>
      <w:r>
        <w:rPr>
          <w:rFonts w:ascii="Calibri" w:hAnsi="Calibri"/>
          <w:b/>
          <w:color w:val="102A54"/>
          <w:sz w:val="21"/>
        </w:rPr>
        <w:t xml:space="preserve"> 6.  </w:t>
      </w:r>
      <w:r>
        <w:rPr>
          <w:rFonts w:ascii="Calibri" w:hAnsi="Calibri"/>
          <w:color w:val="141B2E"/>
          <w:sz w:val="21"/>
        </w:rPr>
        <w:t>What the model learned (feature evidence)</w:t>
      </w:r>
    </w:p>
    <w:p>
      <w:pPr>
        <w:spacing w:after="80"/>
        <w:ind w:left="144"/>
      </w:pPr>
      <w:r>
        <w:rPr>
          <w:rFonts w:ascii="Calibri" w:hAnsi="Calibri"/>
          <w:b/>
          <w:color w:val="102A54"/>
          <w:sz w:val="21"/>
        </w:rPr>
        <w:t xml:space="preserve"> 7.  </w:t>
      </w:r>
      <w:r>
        <w:rPr>
          <w:rFonts w:ascii="Calibri" w:hAnsi="Calibri"/>
          <w:color w:val="141B2E"/>
          <w:sz w:val="21"/>
        </w:rPr>
        <w:t>Layer 2 — Scenario behaviour (nine runs)</w:t>
      </w:r>
    </w:p>
    <w:p>
      <w:pPr>
        <w:spacing w:after="80"/>
        <w:ind w:left="144"/>
      </w:pPr>
      <w:r>
        <w:rPr>
          <w:rFonts w:ascii="Calibri" w:hAnsi="Calibri"/>
          <w:b/>
          <w:color w:val="102A54"/>
          <w:sz w:val="21"/>
        </w:rPr>
        <w:t xml:space="preserve"> 8.  </w:t>
      </w:r>
      <w:r>
        <w:rPr>
          <w:rFonts w:ascii="Calibri" w:hAnsi="Calibri"/>
          <w:color w:val="141B2E"/>
          <w:sz w:val="21"/>
        </w:rPr>
        <w:t>Layer 3 — Acceptance checks (the safety boundary)</w:t>
      </w:r>
    </w:p>
    <w:p>
      <w:pPr>
        <w:spacing w:after="80"/>
        <w:ind w:left="144"/>
      </w:pPr>
      <w:r>
        <w:rPr>
          <w:rFonts w:ascii="Calibri" w:hAnsi="Calibri"/>
          <w:b/>
          <w:color w:val="102A54"/>
          <w:sz w:val="21"/>
        </w:rPr>
        <w:t xml:space="preserve"> 9.  </w:t>
      </w:r>
      <w:r>
        <w:rPr>
          <w:rFonts w:ascii="Calibri" w:hAnsi="Calibri"/>
          <w:color w:val="141B2E"/>
          <w:sz w:val="21"/>
        </w:rPr>
        <w:t>Layer 4 — Production-scale evidence and the deployable network</w:t>
      </w:r>
    </w:p>
    <w:p>
      <w:pPr>
        <w:spacing w:after="80"/>
        <w:ind w:left="144"/>
      </w:pPr>
      <w:r>
        <w:rPr>
          <w:rFonts w:ascii="Calibri" w:hAnsi="Calibri"/>
          <w:b/>
          <w:color w:val="102A54"/>
          <w:sz w:val="21"/>
        </w:rPr>
        <w:t xml:space="preserve">10.  </w:t>
      </w:r>
      <w:r>
        <w:rPr>
          <w:rFonts w:ascii="Calibri" w:hAnsi="Calibri"/>
          <w:color w:val="141B2E"/>
          <w:sz w:val="21"/>
        </w:rPr>
        <w:t>Layer 5 — The machine-health condition-monitoring subsystem</w:t>
      </w:r>
    </w:p>
    <w:p>
      <w:pPr>
        <w:spacing w:after="80"/>
        <w:ind w:left="144"/>
      </w:pPr>
      <w:r>
        <w:rPr>
          <w:rFonts w:ascii="Calibri" w:hAnsi="Calibri"/>
          <w:b/>
          <w:color w:val="102A54"/>
          <w:sz w:val="21"/>
        </w:rPr>
        <w:t xml:space="preserve">11.  </w:t>
      </w:r>
      <w:r>
        <w:rPr>
          <w:rFonts w:ascii="Calibri" w:hAnsi="Calibri"/>
          <w:color w:val="141B2E"/>
          <w:sz w:val="21"/>
        </w:rPr>
        <w:t>The honest limitations (read this carefully)</w:t>
      </w:r>
    </w:p>
    <w:p>
      <w:pPr>
        <w:spacing w:after="80"/>
        <w:ind w:left="144"/>
      </w:pPr>
      <w:r>
        <w:rPr>
          <w:rFonts w:ascii="Calibri" w:hAnsi="Calibri"/>
          <w:b/>
          <w:color w:val="102A54"/>
          <w:sz w:val="21"/>
        </w:rPr>
        <w:t xml:space="preserve">12.  </w:t>
      </w:r>
      <w:r>
        <w:rPr>
          <w:rFonts w:ascii="Calibri" w:hAnsi="Calibri"/>
          <w:color w:val="141B2E"/>
          <w:sz w:val="21"/>
        </w:rPr>
        <w:t>Overall verdict</w:t>
      </w:r>
    </w:p>
    <w:p>
      <w:pPr>
        <w:spacing w:after="80"/>
        <w:ind w:left="144"/>
      </w:pPr>
      <w:r>
        <w:rPr>
          <w:rFonts w:ascii="Calibri" w:hAnsi="Calibri"/>
          <w:b/>
          <w:color w:val="102A54"/>
          <w:sz w:val="21"/>
        </w:rPr>
        <w:t xml:space="preserve">13.  </w:t>
      </w:r>
      <w:r>
        <w:rPr>
          <w:rFonts w:ascii="Calibri" w:hAnsi="Calibri"/>
          <w:color w:val="141B2E"/>
          <w:sz w:val="21"/>
        </w:rPr>
        <w:t>Glossary</w:t>
      </w:r>
    </w:p>
    <w:p>
      <w:r>
        <w:br w:type="page"/>
      </w:r>
    </w:p>
    <w:p>
      <w:pPr>
        <w:keepNext/>
        <w:spacing w:before="320" w:after="40"/>
        <w:pBdr>
          <w:bottom w:val="single" w:sz="10" w:space="4" w:color="102A54"/>
        </w:pBdr>
      </w:pPr>
      <w:r>
        <w:rPr>
          <w:rFonts w:ascii="Calibri" w:hAnsi="Calibri"/>
          <w:b/>
          <w:color w:val="102A54"/>
          <w:sz w:val="34"/>
        </w:rPr>
        <w:t xml:space="preserve">1  </w:t>
      </w:r>
      <w:r>
        <w:rPr>
          <w:rFonts w:ascii="Calibri" w:hAnsi="Calibri"/>
          <w:b/>
          <w:color w:val="102A54"/>
          <w:sz w:val="34"/>
        </w:rPr>
        <w:t>Executive summary of results</w:t>
      </w:r>
    </w:p>
    <w:p>
      <w:pPr>
        <w:spacing w:after="120"/>
      </w:pPr>
      <w:r>
        <w:rPr>
          <w:rFonts w:ascii="Calibri" w:hAnsi="Calibri"/>
          <w:i w:val="0"/>
          <w:color w:val="141B2E"/>
          <w:sz w:val="21"/>
        </w:rPr>
        <w:t xml:space="preserve">The Industrial Loop Guardian was verified at four independent levels: </w:t>
      </w:r>
      <w:r>
        <w:rPr>
          <w:rFonts w:ascii="Calibri" w:hAnsi="Calibri"/>
          <w:b/>
          <w:i w:val="0"/>
          <w:color w:val="141B2E"/>
          <w:sz w:val="21"/>
        </w:rPr>
        <w:t>model quality</w:t>
      </w:r>
      <w:r>
        <w:rPr>
          <w:rFonts w:ascii="Calibri" w:hAnsi="Calibri"/>
          <w:i w:val="0"/>
          <w:color w:val="141B2E"/>
          <w:sz w:val="21"/>
        </w:rPr>
        <w:t xml:space="preserve"> (the four diagnostic heads separate each fault from normal operation), </w:t>
      </w:r>
      <w:r>
        <w:rPr>
          <w:rFonts w:ascii="Calibri" w:hAnsi="Calibri"/>
          <w:b/>
          <w:i w:val="0"/>
          <w:color w:val="141B2E"/>
          <w:sz w:val="21"/>
        </w:rPr>
        <w:t>scenario behaviour</w:t>
      </w:r>
      <w:r>
        <w:rPr>
          <w:rFonts w:ascii="Calibri" w:hAnsi="Calibri"/>
          <w:i w:val="0"/>
          <w:color w:val="141B2E"/>
          <w:sz w:val="21"/>
        </w:rPr>
        <w:t xml:space="preserve"> (the running demo makes the right calls across nine plant scenarios), </w:t>
      </w:r>
      <w:r>
        <w:rPr>
          <w:rFonts w:ascii="Calibri" w:hAnsi="Calibri"/>
          <w:b/>
          <w:i w:val="0"/>
          <w:color w:val="141B2E"/>
          <w:sz w:val="21"/>
        </w:rPr>
        <w:t>acceptance checks</w:t>
      </w:r>
      <w:r>
        <w:rPr>
          <w:rFonts w:ascii="Calibri" w:hAnsi="Calibri"/>
          <w:i w:val="0"/>
          <w:color w:val="141B2E"/>
          <w:sz w:val="21"/>
        </w:rPr>
        <w:t xml:space="preserve"> (the OPC UA / MQTT / PLC safety boundary holds), and </w:t>
      </w:r>
      <w:r>
        <w:rPr>
          <w:rFonts w:ascii="Calibri" w:hAnsi="Calibri"/>
          <w:b/>
          <w:i w:val="0"/>
          <w:color w:val="141B2E"/>
          <w:sz w:val="21"/>
        </w:rPr>
        <w:t>scale</w:t>
      </w:r>
      <w:r>
        <w:rPr>
          <w:rFonts w:ascii="Calibri" w:hAnsi="Calibri"/>
          <w:i w:val="0"/>
          <w:color w:val="141B2E"/>
          <w:sz w:val="21"/>
        </w:rPr>
        <w:t xml:space="preserve"> (the training pipeline holds up at a 100 GiB logical-corpus target). Every check passed.</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448"/>
            <w:shd w:val="clear" w:color="auto" w:fill="102A54"/>
            <w:tcMar>
              <w:top w:w="60" w:type="dxa"/>
              <w:bottom w:w="60" w:type="dxa"/>
              <w:start w:w="110" w:type="dxa"/>
              <w:end w:w="110" w:type="dxa"/>
            </w:tcMar>
            <w:vAlign w:val="center"/>
          </w:tcPr>
          <w:p>
            <w:pPr>
              <w:spacing w:after="0"/>
            </w:pPr>
            <w:r>
              <w:rPr>
                <w:rFonts w:ascii="Calibri" w:hAnsi="Calibri"/>
                <w:b/>
                <w:color w:val="FFFFFF"/>
                <w:sz w:val="19"/>
              </w:rPr>
              <w:t>Test layer</w:t>
            </w:r>
          </w:p>
        </w:tc>
        <w:tc>
          <w:tcPr>
            <w:tcW w:type="dxa" w:w="4464"/>
            <w:shd w:val="clear" w:color="auto" w:fill="102A54"/>
            <w:tcMar>
              <w:top w:w="60" w:type="dxa"/>
              <w:bottom w:w="60" w:type="dxa"/>
              <w:start w:w="110" w:type="dxa"/>
              <w:end w:w="110" w:type="dxa"/>
            </w:tcMar>
            <w:vAlign w:val="center"/>
          </w:tcPr>
          <w:p>
            <w:pPr>
              <w:spacing w:after="0"/>
            </w:pPr>
            <w:r>
              <w:rPr>
                <w:rFonts w:ascii="Calibri" w:hAnsi="Calibri"/>
                <w:b/>
                <w:color w:val="FFFFFF"/>
                <w:sz w:val="19"/>
              </w:rPr>
              <w:t>What it checks</w:t>
            </w:r>
          </w:p>
        </w:tc>
        <w:tc>
          <w:tcPr>
            <w:tcW w:type="dxa" w:w="2880"/>
            <w:shd w:val="clear" w:color="auto" w:fill="102A54"/>
            <w:tcMar>
              <w:top w:w="60" w:type="dxa"/>
              <w:bottom w:w="60" w:type="dxa"/>
              <w:start w:w="110" w:type="dxa"/>
              <w:end w:w="110" w:type="dxa"/>
            </w:tcMar>
            <w:vAlign w:val="center"/>
          </w:tcPr>
          <w:p>
            <w:pPr>
              <w:spacing w:after="0"/>
            </w:pPr>
            <w:r>
              <w:rPr>
                <w:rFonts w:ascii="Calibri" w:hAnsi="Calibri"/>
                <w:b/>
                <w:color w:val="FFFFFF"/>
                <w:sz w:val="19"/>
              </w:rPr>
              <w:t>Result</w:t>
            </w:r>
          </w:p>
        </w:tc>
      </w:tr>
      <w:tr>
        <w:tc>
          <w:tcPr>
            <w:tcW w:type="dxa" w:w="24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Model quality</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Per-finding precision / recall / F1 / FP rate</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macro-F1 ≈ 0.9995</w:t>
            </w:r>
            <w:r>
              <w:rPr>
                <w:rFonts w:ascii="Calibri" w:hAnsi="Calibri"/>
                <w:i w:val="0"/>
                <w:color w:val="141B2E"/>
                <w:sz w:val="19"/>
              </w:rPr>
              <w:t>, near-zero FP</w:t>
            </w:r>
          </w:p>
        </w:tc>
      </w:tr>
      <w:tr>
        <w:tc>
          <w:tcPr>
            <w:tcW w:type="dxa" w:w="244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Scenario behaviour</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Nine deterministic plant scenarios</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Pass</w:t>
            </w:r>
            <w:r>
              <w:rPr>
                <w:rFonts w:ascii="Calibri" w:hAnsi="Calibri"/>
                <w:i w:val="0"/>
                <w:color w:val="141B2E"/>
                <w:sz w:val="19"/>
              </w:rPr>
              <w:t xml:space="preserve"> — diagnosis + safety as expected</w:t>
            </w:r>
          </w:p>
        </w:tc>
      </w:tr>
      <w:tr>
        <w:tc>
          <w:tcPr>
            <w:tcW w:type="dxa" w:w="24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Acceptance</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OPC UA / MQTT / PLC boundary</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Pass</w:t>
            </w:r>
            <w:r>
              <w:rPr>
                <w:rFonts w:ascii="Calibri" w:hAnsi="Calibri"/>
                <w:i w:val="0"/>
                <w:color w:val="141B2E"/>
                <w:sz w:val="19"/>
              </w:rPr>
              <w:t xml:space="preserve"> — boundary holds in every scenario</w:t>
            </w:r>
          </w:p>
        </w:tc>
      </w:tr>
      <w:tr>
        <w:tc>
          <w:tcPr>
            <w:tcW w:type="dxa" w:w="244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Scale</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100 GiB logical-corpus target &amp; guardrails</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Pass</w:t>
            </w:r>
            <w:r>
              <w:rPr>
                <w:rFonts w:ascii="Calibri" w:hAnsi="Calibri"/>
                <w:i w:val="0"/>
                <w:color w:val="141B2E"/>
                <w:sz w:val="19"/>
              </w:rPr>
              <w:t xml:space="preserve"> — target reached, fitted sample bounded</w:t>
            </w:r>
          </w:p>
        </w:tc>
      </w:tr>
    </w:tbl>
    <w:p>
      <w:pPr>
        <w:spacing w:after="0" w:before="0"/>
      </w:pPr>
      <w:r>
        <w:rPr>
          <w:sz w:val="12"/>
        </w:rPr>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The single most important sentence in this report</w:t>
            </w:r>
          </w:p>
          <w:p>
            <w:pPr>
              <w:spacing w:after="0"/>
            </w:pPr>
            <w:r>
              <w:rPr>
                <w:rFonts w:ascii="Calibri" w:hAnsi="Calibri"/>
                <w:i w:val="0"/>
                <w:color w:val="141B2E"/>
                <w:sz w:val="20"/>
              </w:rPr>
              <w:t>The near-perfect scores below are PIPELINE evidence on a deterministic, synthetic skid corpus — they prove the system is wired correctly and the four faults are cleanly separable. They are NOT a claim of real-world accuracy, which must be earned on external historian, CMMS, and energy-meter data. We state this here, at the top, on purpose.</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2  </w:t>
      </w:r>
      <w:r>
        <w:rPr>
          <w:rFonts w:ascii="Calibri" w:hAnsi="Calibri"/>
          <w:b/>
          <w:color w:val="102A54"/>
          <w:sz w:val="34"/>
        </w:rPr>
        <w:t>What we tested, and why</w:t>
      </w:r>
    </w:p>
    <w:p>
      <w:pPr>
        <w:spacing w:after="120"/>
      </w:pPr>
      <w:r>
        <w:rPr>
          <w:rFonts w:ascii="Calibri" w:hAnsi="Calibri"/>
          <w:i w:val="0"/>
          <w:color w:val="141B2E"/>
          <w:sz w:val="21"/>
        </w:rPr>
        <w:t>A supervisory product earns trust by being tested the way it will be used — not just "does it run", but "does it diagnose correctly, stay inside the safety boundary, and explain itself." The verification is therefore layered:</w:t>
      </w:r>
    </w:p>
    <w:p>
      <w:pPr>
        <w:pStyle w:val="ListBullet"/>
        <w:spacing w:after="60" w:line="269" w:lineRule="auto"/>
        <w:ind w:left="403"/>
      </w:pPr>
      <w:r>
        <w:rPr>
          <w:rFonts w:ascii="Calibri" w:hAnsi="Calibri"/>
          <w:b/>
          <w:i w:val="0"/>
          <w:color w:val="141B2E"/>
          <w:sz w:val="21"/>
        </w:rPr>
        <w:t>The trained heads</w:t>
      </w:r>
      <w:r>
        <w:rPr>
          <w:rFonts w:ascii="Calibri" w:hAnsi="Calibri"/>
          <w:i w:val="0"/>
          <w:color w:val="141B2E"/>
          <w:sz w:val="21"/>
        </w:rPr>
        <w:t xml:space="preserve"> — given windows of plant behaviour, does each head separate its fault (pump wear, oscillation, sensor drift, energy deterioration) from normal operation, and are its false positives within budget?</w:t>
      </w:r>
    </w:p>
    <w:p>
      <w:pPr>
        <w:pStyle w:val="ListBullet"/>
        <w:spacing w:after="60" w:line="269" w:lineRule="auto"/>
        <w:ind w:left="403"/>
      </w:pPr>
      <w:r>
        <w:rPr>
          <w:rFonts w:ascii="Calibri" w:hAnsi="Calibri"/>
          <w:b/>
          <w:i w:val="0"/>
          <w:color w:val="141B2E"/>
          <w:sz w:val="21"/>
        </w:rPr>
        <w:t>The running system</w:t>
      </w:r>
      <w:r>
        <w:rPr>
          <w:rFonts w:ascii="Calibri" w:hAnsi="Calibri"/>
          <w:i w:val="0"/>
          <w:color w:val="141B2E"/>
          <w:sz w:val="21"/>
        </w:rPr>
        <w:t xml:space="preserve"> — across nine realistic scenarios, does it diagnose correctly, while the deterministic controls keep the plant safe?</w:t>
      </w:r>
    </w:p>
    <w:p>
      <w:pPr>
        <w:pStyle w:val="ListBullet"/>
        <w:spacing w:after="60" w:line="269" w:lineRule="auto"/>
        <w:ind w:left="403"/>
      </w:pPr>
      <w:r>
        <w:rPr>
          <w:rFonts w:ascii="Calibri" w:hAnsi="Calibri"/>
          <w:b/>
          <w:i w:val="0"/>
          <w:color w:val="141B2E"/>
          <w:sz w:val="21"/>
        </w:rPr>
        <w:t>The safety boundary</w:t>
      </w:r>
      <w:r>
        <w:rPr>
          <w:rFonts w:ascii="Calibri" w:hAnsi="Calibri"/>
          <w:i w:val="0"/>
          <w:color w:val="141B2E"/>
          <w:sz w:val="21"/>
        </w:rPr>
        <w:t xml:space="preserve"> — do OPC UA, MQTT, and PLC/SIS keep their roles in every scenario, including outages and interlock trips?</w:t>
      </w:r>
    </w:p>
    <w:p>
      <w:pPr>
        <w:pStyle w:val="ListBullet"/>
        <w:spacing w:after="60" w:line="269" w:lineRule="auto"/>
        <w:ind w:left="403"/>
      </w:pPr>
      <w:r>
        <w:rPr>
          <w:rFonts w:ascii="Calibri" w:hAnsi="Calibri"/>
          <w:b/>
          <w:i w:val="0"/>
          <w:color w:val="141B2E"/>
          <w:sz w:val="21"/>
        </w:rPr>
        <w:t>The pipeline at scale</w:t>
      </w:r>
      <w:r>
        <w:rPr>
          <w:rFonts w:ascii="Calibri" w:hAnsi="Calibri"/>
          <w:i w:val="0"/>
          <w:color w:val="141B2E"/>
          <w:sz w:val="21"/>
        </w:rPr>
        <w:t xml:space="preserve"> — does training stay correct, bounded, and reproducible at a 100 GiB logical corpus?</w:t>
      </w:r>
    </w:p>
    <w:p>
      <w:pPr>
        <w:keepNext/>
        <w:spacing w:before="320" w:after="40"/>
        <w:pBdr>
          <w:bottom w:val="single" w:sz="10" w:space="4" w:color="102A54"/>
        </w:pBdr>
      </w:pPr>
      <w:r>
        <w:rPr>
          <w:rFonts w:ascii="Calibri" w:hAnsi="Calibri"/>
          <w:b/>
          <w:color w:val="102A54"/>
          <w:sz w:val="34"/>
        </w:rPr>
        <w:t xml:space="preserve">3  </w:t>
      </w:r>
      <w:r>
        <w:rPr>
          <w:rFonts w:ascii="Calibri" w:hAnsi="Calibri"/>
          <w:b/>
          <w:color w:val="102A54"/>
          <w:sz w:val="34"/>
        </w:rPr>
        <w:t>Test environment</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2880"/>
            <w:shd w:val="clear" w:color="auto" w:fill="102A54"/>
            <w:tcMar>
              <w:top w:w="60" w:type="dxa"/>
              <w:bottom w:w="60" w:type="dxa"/>
              <w:start w:w="110" w:type="dxa"/>
              <w:end w:w="110" w:type="dxa"/>
            </w:tcMar>
            <w:vAlign w:val="center"/>
          </w:tcPr>
          <w:p>
            <w:pPr>
              <w:spacing w:after="0"/>
            </w:pPr>
            <w:r>
              <w:rPr>
                <w:rFonts w:ascii="Calibri" w:hAnsi="Calibri"/>
                <w:b/>
                <w:color w:val="FFFFFF"/>
                <w:sz w:val="19"/>
              </w:rPr>
              <w:t>Item</w:t>
            </w:r>
          </w:p>
        </w:tc>
        <w:tc>
          <w:tcPr>
            <w:tcW w:type="dxa" w:w="6912"/>
            <w:shd w:val="clear" w:color="auto" w:fill="102A54"/>
            <w:tcMar>
              <w:top w:w="60" w:type="dxa"/>
              <w:bottom w:w="60" w:type="dxa"/>
              <w:start w:w="110" w:type="dxa"/>
              <w:end w:w="110" w:type="dxa"/>
            </w:tcMar>
            <w:vAlign w:val="center"/>
          </w:tcPr>
          <w:p>
            <w:pPr>
              <w:spacing w:after="0"/>
            </w:pPr>
            <w:r>
              <w:rPr>
                <w:rFonts w:ascii="Calibri" w:hAnsi="Calibri"/>
                <w:b/>
                <w:color w:val="FFFFFF"/>
                <w:sz w:val="19"/>
              </w:rPr>
              <w:t>Value</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Platform</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Jneopallium multi-module Maven project (master + worker)</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Runtime</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Java 17+ worker/controller; Python 3 trainer (no third-party packages)</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Model under test</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industrial-loop-guardian, 1.0.0-reference-maintenance-energy</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Task</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Multi-label: four independent diagnostic finding heads</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Feature count</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39 engineered features</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Safety mode</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ADVISORY, supervisory above PLC/PID/SIS</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Reference command</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train_loop_guardian_model.py --reference-multiplier 1000 --target-corpus-bytes 100gb …</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Determinism</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Fully reproducible: same command → same checksum and metrics</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4  </w:t>
      </w:r>
      <w:r>
        <w:rPr>
          <w:rFonts w:ascii="Calibri" w:hAnsi="Calibri"/>
          <w:b/>
          <w:color w:val="102A54"/>
          <w:sz w:val="34"/>
        </w:rPr>
        <w:t>A plain-language primer on the metrics</w:t>
      </w:r>
    </w:p>
    <w:p>
      <w:pPr>
        <w:spacing w:after="120"/>
      </w:pPr>
      <w:r>
        <w:rPr>
          <w:rFonts w:ascii="Calibri" w:hAnsi="Calibri"/>
          <w:i w:val="0"/>
          <w:color w:val="141B2E"/>
          <w:sz w:val="21"/>
        </w:rPr>
        <w:t xml:space="preserve">Two families of numbers appear. First, </w:t>
      </w:r>
      <w:r>
        <w:rPr>
          <w:rFonts w:ascii="Calibri" w:hAnsi="Calibri"/>
          <w:b/>
          <w:i w:val="0"/>
          <w:color w:val="141B2E"/>
          <w:sz w:val="21"/>
        </w:rPr>
        <w:t>classification metrics</w:t>
      </w:r>
      <w:r>
        <w:rPr>
          <w:rFonts w:ascii="Calibri" w:hAnsi="Calibri"/>
          <w:i w:val="0"/>
          <w:color w:val="141B2E"/>
          <w:sz w:val="21"/>
        </w:rPr>
        <w:t xml:space="preserve"> for the diagnostic heads — here an "example" is a window of plant behaviour the model labels as having a fault or not:</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448"/>
            <w:shd w:val="clear" w:color="auto" w:fill="102A54"/>
            <w:tcMar>
              <w:top w:w="60" w:type="dxa"/>
              <w:bottom w:w="60" w:type="dxa"/>
              <w:start w:w="110" w:type="dxa"/>
              <w:end w:w="110" w:type="dxa"/>
            </w:tcMar>
            <w:vAlign w:val="center"/>
          </w:tcPr>
          <w:p>
            <w:pPr>
              <w:spacing w:after="0"/>
            </w:pPr>
            <w:r>
              <w:rPr>
                <w:rFonts w:ascii="Calibri" w:hAnsi="Calibri"/>
                <w:b/>
                <w:color w:val="FFFFFF"/>
                <w:sz w:val="19"/>
              </w:rPr>
              <w:t>Metric</w:t>
            </w:r>
          </w:p>
        </w:tc>
        <w:tc>
          <w:tcPr>
            <w:tcW w:type="dxa" w:w="5328"/>
            <w:shd w:val="clear" w:color="auto" w:fill="102A54"/>
            <w:tcMar>
              <w:top w:w="60" w:type="dxa"/>
              <w:bottom w:w="60" w:type="dxa"/>
              <w:start w:w="110" w:type="dxa"/>
              <w:end w:w="110" w:type="dxa"/>
            </w:tcMar>
            <w:vAlign w:val="center"/>
          </w:tcPr>
          <w:p>
            <w:pPr>
              <w:spacing w:after="0"/>
            </w:pPr>
            <w:r>
              <w:rPr>
                <w:rFonts w:ascii="Calibri" w:hAnsi="Calibri"/>
                <w:b/>
                <w:color w:val="FFFFFF"/>
                <w:sz w:val="19"/>
              </w:rPr>
              <w:t>Plain-language meaning</w:t>
            </w:r>
          </w:p>
        </w:tc>
        <w:tc>
          <w:tcPr>
            <w:tcW w:type="dxa" w:w="2016"/>
            <w:shd w:val="clear" w:color="auto" w:fill="102A54"/>
            <w:tcMar>
              <w:top w:w="60" w:type="dxa"/>
              <w:bottom w:w="60" w:type="dxa"/>
              <w:start w:w="110" w:type="dxa"/>
              <w:end w:w="110" w:type="dxa"/>
            </w:tcMar>
            <w:vAlign w:val="center"/>
          </w:tcPr>
          <w:p>
            <w:pPr>
              <w:spacing w:after="0"/>
            </w:pPr>
            <w:r>
              <w:rPr>
                <w:rFonts w:ascii="Calibri" w:hAnsi="Calibri"/>
                <w:b/>
                <w:color w:val="FFFFFF"/>
                <w:sz w:val="19"/>
              </w:rPr>
              <w:t>Best</w:t>
            </w:r>
          </w:p>
        </w:tc>
      </w:tr>
      <w:tr>
        <w:tc>
          <w:tcPr>
            <w:tcW w:type="dxa" w:w="24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Precision</w:t>
            </w:r>
          </w:p>
        </w:tc>
        <w:tc>
          <w:tcPr>
            <w:tcW w:type="dxa" w:w="53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Of the windows flagged with a fault, how many really had it</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 (no false alarms)</w:t>
            </w:r>
          </w:p>
        </w:tc>
      </w:tr>
      <w:tr>
        <w:tc>
          <w:tcPr>
            <w:tcW w:type="dxa" w:w="244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Recall</w:t>
            </w:r>
          </w:p>
        </w:tc>
        <w:tc>
          <w:tcPr>
            <w:tcW w:type="dxa" w:w="53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Of the real faults, how many it caught</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 (missed nothing)</w:t>
            </w:r>
          </w:p>
        </w:tc>
      </w:tr>
      <w:tr>
        <w:tc>
          <w:tcPr>
            <w:tcW w:type="dxa" w:w="24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F1</w:t>
            </w:r>
          </w:p>
        </w:tc>
        <w:tc>
          <w:tcPr>
            <w:tcW w:type="dxa" w:w="53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 single fair blend of precision and recall</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r>
      <w:tr>
        <w:tc>
          <w:tcPr>
            <w:tcW w:type="dxa" w:w="244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False-positive rate</w:t>
            </w:r>
          </w:p>
        </w:tc>
        <w:tc>
          <w:tcPr>
            <w:tcW w:type="dxa" w:w="53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How often it cried wolf on healthy windows</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r>
        <w:tc>
          <w:tcPr>
            <w:tcW w:type="dxa" w:w="24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Macro-F1</w:t>
            </w:r>
          </w:p>
        </w:tc>
        <w:tc>
          <w:tcPr>
            <w:tcW w:type="dxa" w:w="53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F1 averaged equally across all four heads</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r>
    </w:tbl>
    <w:p>
      <w:pPr>
        <w:spacing w:after="0" w:before="0"/>
      </w:pPr>
      <w:r>
        <w:rPr>
          <w:sz w:val="12"/>
        </w:rPr>
      </w:r>
    </w:p>
    <w:p>
      <w:pPr>
        <w:spacing w:after="120"/>
      </w:pPr>
      <w:r>
        <w:rPr>
          <w:rFonts w:ascii="Calibri" w:hAnsi="Calibri"/>
          <w:i w:val="0"/>
          <w:color w:val="141B2E"/>
          <w:sz w:val="21"/>
        </w:rPr>
        <w:t xml:space="preserve">Second, </w:t>
      </w:r>
      <w:r>
        <w:rPr>
          <w:rFonts w:ascii="Calibri" w:hAnsi="Calibri"/>
          <w:b/>
          <w:i w:val="0"/>
          <w:color w:val="141B2E"/>
          <w:sz w:val="21"/>
        </w:rPr>
        <w:t>control KPIs</w:t>
      </w:r>
      <w:r>
        <w:rPr>
          <w:rFonts w:ascii="Calibri" w:hAnsi="Calibri"/>
          <w:i w:val="0"/>
          <w:color w:val="141B2E"/>
          <w:sz w:val="21"/>
        </w:rPr>
        <w:t xml:space="preserve"> for each scenario, which describe how the plant behaved, not the model: </w:t>
      </w:r>
      <w:r>
        <w:rPr>
          <w:rFonts w:ascii="Calibri" w:hAnsi="Calibri"/>
          <w:b/>
          <w:i w:val="0"/>
          <w:color w:val="141B2E"/>
          <w:sz w:val="21"/>
        </w:rPr>
        <w:t>IAE</w:t>
      </w:r>
      <w:r>
        <w:rPr>
          <w:rFonts w:ascii="Calibri" w:hAnsi="Calibri"/>
          <w:i w:val="0"/>
          <w:color w:val="141B2E"/>
          <w:sz w:val="21"/>
        </w:rPr>
        <w:t xml:space="preserve"> (total tracking error), </w:t>
      </w:r>
      <w:r>
        <w:rPr>
          <w:rFonts w:ascii="Calibri" w:hAnsi="Calibri"/>
          <w:b/>
          <w:i w:val="0"/>
          <w:color w:val="141B2E"/>
          <w:sz w:val="21"/>
        </w:rPr>
        <w:t>overshoot</w:t>
      </w:r>
      <w:r>
        <w:rPr>
          <w:rFonts w:ascii="Calibri" w:hAnsi="Calibri"/>
          <w:i w:val="0"/>
          <w:color w:val="141B2E"/>
          <w:sz w:val="21"/>
        </w:rPr>
        <w:t xml:space="preserve">, </w:t>
      </w:r>
      <w:r>
        <w:rPr>
          <w:rFonts w:ascii="Calibri" w:hAnsi="Calibri"/>
          <w:b/>
          <w:i w:val="0"/>
          <w:color w:val="141B2E"/>
          <w:sz w:val="21"/>
        </w:rPr>
        <w:t>settling time</w:t>
      </w:r>
      <w:r>
        <w:rPr>
          <w:rFonts w:ascii="Calibri" w:hAnsi="Calibri"/>
          <w:i w:val="0"/>
          <w:color w:val="141B2E"/>
          <w:sz w:val="21"/>
        </w:rPr>
        <w:t xml:space="preserve">, </w:t>
      </w:r>
      <w:r>
        <w:rPr>
          <w:rFonts w:ascii="Calibri" w:hAnsi="Calibri"/>
          <w:b/>
          <w:i w:val="0"/>
          <w:color w:val="141B2E"/>
          <w:sz w:val="21"/>
        </w:rPr>
        <w:t>energy</w:t>
      </w:r>
      <w:r>
        <w:rPr>
          <w:rFonts w:ascii="Calibri" w:hAnsi="Calibri"/>
          <w:i w:val="0"/>
          <w:color w:val="141B2E"/>
          <w:sz w:val="21"/>
        </w:rPr>
        <w:t xml:space="preserve"> (kWh), </w:t>
      </w:r>
      <w:r>
        <w:rPr>
          <w:rFonts w:ascii="Calibri" w:hAnsi="Calibri"/>
          <w:b/>
          <w:i w:val="0"/>
          <w:color w:val="141B2E"/>
          <w:sz w:val="21"/>
        </w:rPr>
        <w:t>interlock latency</w:t>
      </w:r>
      <w:r>
        <w:rPr>
          <w:rFonts w:ascii="Calibri" w:hAnsi="Calibri"/>
          <w:i w:val="0"/>
          <w:color w:val="141B2E"/>
          <w:sz w:val="21"/>
        </w:rPr>
        <w:t xml:space="preserve"> (how fast a hard safety rule fired), and </w:t>
      </w:r>
      <w:r>
        <w:rPr>
          <w:rFonts w:ascii="Calibri" w:hAnsi="Calibri"/>
          <w:b/>
          <w:i w:val="0"/>
          <w:color w:val="141B2E"/>
          <w:sz w:val="21"/>
        </w:rPr>
        <w:t>availability</w:t>
      </w:r>
      <w:r>
        <w:rPr>
          <w:rFonts w:ascii="Calibri" w:hAnsi="Calibri"/>
          <w:i w:val="0"/>
          <w:color w:val="141B2E"/>
          <w:sz w:val="21"/>
        </w:rPr>
        <w:t xml:space="preserve"> (fraction of time fast control stayed up).</w:t>
      </w:r>
    </w:p>
    <w:p>
      <w:pPr>
        <w:keepNext/>
        <w:spacing w:before="320" w:after="40"/>
        <w:pBdr>
          <w:bottom w:val="single" w:sz="10" w:space="4" w:color="102A54"/>
        </w:pBdr>
      </w:pPr>
      <w:r>
        <w:rPr>
          <w:rFonts w:ascii="Calibri" w:hAnsi="Calibri"/>
          <w:b/>
          <w:color w:val="102A54"/>
          <w:sz w:val="34"/>
        </w:rPr>
        <w:t xml:space="preserve">5  </w:t>
      </w:r>
      <w:r>
        <w:rPr>
          <w:rFonts w:ascii="Calibri" w:hAnsi="Calibri"/>
          <w:b/>
          <w:color w:val="102A54"/>
          <w:sz w:val="34"/>
        </w:rPr>
        <w:t>Layer 1 — Diagnostic-head model quality</w:t>
      </w:r>
    </w:p>
    <w:p>
      <w:pPr>
        <w:spacing w:after="120"/>
      </w:pPr>
      <w:r>
        <w:rPr>
          <w:rFonts w:ascii="Calibri" w:hAnsi="Calibri"/>
          <w:i w:val="0"/>
          <w:color w:val="141B2E"/>
          <w:sz w:val="21"/>
        </w:rPr>
        <w:t>Each head was evaluated on held-out windows, split leakage-safe. Three heads are perfect; the energy head — the hardest, most subjective target — has a small, honest false-positive rate. Overall results across all 9,000 windows: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1529"/>
        <w:gridCol w:w="1529"/>
        <w:gridCol w:w="1529"/>
        <w:gridCol w:w="1529"/>
        <w:gridCol w:w="1529"/>
        <w:gridCol w:w="1529"/>
      </w:tblGrid>
      <w:tr>
        <w:tc>
          <w:tcPr>
            <w:tcW w:type="dxa" w:w="3744"/>
            <w:shd w:val="clear" w:color="auto" w:fill="102A54"/>
            <w:tcMar>
              <w:top w:w="60" w:type="dxa"/>
              <w:bottom w:w="60" w:type="dxa"/>
              <w:start w:w="110" w:type="dxa"/>
              <w:end w:w="110" w:type="dxa"/>
            </w:tcMar>
            <w:vAlign w:val="center"/>
          </w:tcPr>
          <w:p>
            <w:pPr>
              <w:spacing w:after="0"/>
            </w:pPr>
            <w:r>
              <w:rPr>
                <w:rFonts w:ascii="Calibri" w:hAnsi="Calibri"/>
                <w:b/>
                <w:color w:val="FFFFFF"/>
                <w:sz w:val="19"/>
              </w:rPr>
              <w:t>Finding head</w:t>
            </w:r>
          </w:p>
        </w:tc>
        <w:tc>
          <w:tcPr>
            <w:tcW w:type="dxa" w:w="1440"/>
            <w:shd w:val="clear" w:color="auto" w:fill="102A54"/>
            <w:tcMar>
              <w:top w:w="60" w:type="dxa"/>
              <w:bottom w:w="60" w:type="dxa"/>
              <w:start w:w="110" w:type="dxa"/>
              <w:end w:w="110" w:type="dxa"/>
            </w:tcMar>
            <w:vAlign w:val="center"/>
          </w:tcPr>
          <w:p>
            <w:pPr>
              <w:spacing w:after="0"/>
            </w:pPr>
            <w:r>
              <w:rPr>
                <w:rFonts w:ascii="Calibri" w:hAnsi="Calibri"/>
                <w:b/>
                <w:color w:val="FFFFFF"/>
                <w:sz w:val="19"/>
              </w:rPr>
              <w:t>Positives</w:t>
            </w:r>
          </w:p>
        </w:tc>
        <w:tc>
          <w:tcPr>
            <w:tcW w:type="dxa" w:w="1440"/>
            <w:shd w:val="clear" w:color="auto" w:fill="102A54"/>
            <w:tcMar>
              <w:top w:w="60" w:type="dxa"/>
              <w:bottom w:w="60" w:type="dxa"/>
              <w:start w:w="110" w:type="dxa"/>
              <w:end w:w="110" w:type="dxa"/>
            </w:tcMar>
            <w:vAlign w:val="center"/>
          </w:tcPr>
          <w:p>
            <w:pPr>
              <w:spacing w:after="0"/>
            </w:pPr>
            <w:r>
              <w:rPr>
                <w:rFonts w:ascii="Calibri" w:hAnsi="Calibri"/>
                <w:b/>
                <w:color w:val="FFFFFF"/>
                <w:sz w:val="19"/>
              </w:rPr>
              <w:t>Precision</w:t>
            </w:r>
          </w:p>
        </w:tc>
        <w:tc>
          <w:tcPr>
            <w:tcW w:type="dxa" w:w="1152"/>
            <w:shd w:val="clear" w:color="auto" w:fill="102A54"/>
            <w:tcMar>
              <w:top w:w="60" w:type="dxa"/>
              <w:bottom w:w="60" w:type="dxa"/>
              <w:start w:w="110" w:type="dxa"/>
              <w:end w:w="110" w:type="dxa"/>
            </w:tcMar>
            <w:vAlign w:val="center"/>
          </w:tcPr>
          <w:p>
            <w:pPr>
              <w:spacing w:after="0"/>
            </w:pPr>
            <w:r>
              <w:rPr>
                <w:rFonts w:ascii="Calibri" w:hAnsi="Calibri"/>
                <w:b/>
                <w:color w:val="FFFFFF"/>
                <w:sz w:val="19"/>
              </w:rPr>
              <w:t>Recall</w:t>
            </w:r>
          </w:p>
        </w:tc>
        <w:tc>
          <w:tcPr>
            <w:tcW w:type="dxa" w:w="1008"/>
            <w:shd w:val="clear" w:color="auto" w:fill="102A54"/>
            <w:tcMar>
              <w:top w:w="60" w:type="dxa"/>
              <w:bottom w:w="60" w:type="dxa"/>
              <w:start w:w="110" w:type="dxa"/>
              <w:end w:w="110" w:type="dxa"/>
            </w:tcMar>
            <w:vAlign w:val="center"/>
          </w:tcPr>
          <w:p>
            <w:pPr>
              <w:spacing w:after="0"/>
            </w:pPr>
            <w:r>
              <w:rPr>
                <w:rFonts w:ascii="Calibri" w:hAnsi="Calibri"/>
                <w:b/>
                <w:color w:val="FFFFFF"/>
                <w:sz w:val="19"/>
              </w:rPr>
              <w:t>F1</w:t>
            </w:r>
          </w:p>
        </w:tc>
        <w:tc>
          <w:tcPr>
            <w:tcW w:type="dxa" w:w="1008"/>
            <w:shd w:val="clear" w:color="auto" w:fill="102A54"/>
            <w:tcMar>
              <w:top w:w="60" w:type="dxa"/>
              <w:bottom w:w="60" w:type="dxa"/>
              <w:start w:w="110" w:type="dxa"/>
              <w:end w:w="110" w:type="dxa"/>
            </w:tcMar>
            <w:vAlign w:val="center"/>
          </w:tcPr>
          <w:p>
            <w:pPr>
              <w:spacing w:after="0"/>
            </w:pPr>
            <w:r>
              <w:rPr>
                <w:rFonts w:ascii="Calibri" w:hAnsi="Calibri"/>
                <w:b/>
                <w:color w:val="FFFFFF"/>
                <w:sz w:val="19"/>
              </w:rPr>
              <w:t>FP rate</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Pump wear / cavitation risk</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1,000</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1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r>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Control-loop oscillation / tuning</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1,000</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1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Temperature-sensor drift</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1,000</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1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r>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Energy-per-unit deterioration</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3,000</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0.9957</w:t>
            </w:r>
          </w:p>
        </w:tc>
        <w:tc>
          <w:tcPr>
            <w:tcW w:type="dxa" w:w="11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0.9978</w:t>
            </w:r>
          </w:p>
        </w:tc>
        <w:tc>
          <w:tcPr>
            <w:tcW w:type="dxa" w:w="10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0.0022</w:t>
            </w:r>
          </w:p>
        </w:tc>
      </w:tr>
    </w:tbl>
    <w:p>
      <w:pPr>
        <w:spacing w:after="0" w:before="0"/>
      </w:pPr>
      <w:r>
        <w:rPr>
          <w:sz w:val="12"/>
        </w:rPr>
      </w:r>
    </w:p>
    <w:p>
      <w:pPr>
        <w:spacing w:after="120"/>
      </w:pPr>
      <w:r>
        <w:rPr>
          <w:rFonts w:ascii="Calibri" w:hAnsi="Calibri"/>
          <w:i w:val="0"/>
          <w:color w:val="141B2E"/>
          <w:sz w:val="21"/>
        </w:rPr>
        <w:t>By split, the macro-averaged scores stay essentially perfect, with the validation split clean and the energy head accounting for the only false positives: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2293"/>
        <w:gridCol w:w="2293"/>
        <w:gridCol w:w="2293"/>
        <w:gridCol w:w="2293"/>
      </w:tblGrid>
      <w:tr>
        <w:tc>
          <w:tcPr>
            <w:tcW w:type="dxa" w:w="2304"/>
            <w:shd w:val="clear" w:color="auto" w:fill="102A54"/>
            <w:tcMar>
              <w:top w:w="60" w:type="dxa"/>
              <w:bottom w:w="60" w:type="dxa"/>
              <w:start w:w="110" w:type="dxa"/>
              <w:end w:w="110" w:type="dxa"/>
            </w:tcMar>
            <w:vAlign w:val="center"/>
          </w:tcPr>
          <w:p>
            <w:pPr>
              <w:spacing w:after="0"/>
            </w:pPr>
            <w:r>
              <w:rPr>
                <w:rFonts w:ascii="Calibri" w:hAnsi="Calibri"/>
                <w:b/>
                <w:color w:val="FFFFFF"/>
                <w:sz w:val="19"/>
              </w:rPr>
              <w:t>Split</w:t>
            </w:r>
          </w:p>
        </w:tc>
        <w:tc>
          <w:tcPr>
            <w:tcW w:type="dxa" w:w="2016"/>
            <w:shd w:val="clear" w:color="auto" w:fill="102A54"/>
            <w:tcMar>
              <w:top w:w="60" w:type="dxa"/>
              <w:bottom w:w="60" w:type="dxa"/>
              <w:start w:w="110" w:type="dxa"/>
              <w:end w:w="110" w:type="dxa"/>
            </w:tcMar>
            <w:vAlign w:val="center"/>
          </w:tcPr>
          <w:p>
            <w:pPr>
              <w:spacing w:after="0"/>
            </w:pPr>
            <w:r>
              <w:rPr>
                <w:rFonts w:ascii="Calibri" w:hAnsi="Calibri"/>
                <w:b/>
                <w:color w:val="FFFFFF"/>
                <w:sz w:val="19"/>
              </w:rPr>
              <w:t>Windows</w:t>
            </w:r>
          </w:p>
        </w:tc>
        <w:tc>
          <w:tcPr>
            <w:tcW w:type="dxa" w:w="2736"/>
            <w:shd w:val="clear" w:color="auto" w:fill="102A54"/>
            <w:tcMar>
              <w:top w:w="60" w:type="dxa"/>
              <w:bottom w:w="60" w:type="dxa"/>
              <w:start w:w="110" w:type="dxa"/>
              <w:end w:w="110" w:type="dxa"/>
            </w:tcMar>
            <w:vAlign w:val="center"/>
          </w:tcPr>
          <w:p>
            <w:pPr>
              <w:spacing w:after="0"/>
            </w:pPr>
            <w:r>
              <w:rPr>
                <w:rFonts w:ascii="Calibri" w:hAnsi="Calibri"/>
                <w:b/>
                <w:color w:val="FFFFFF"/>
                <w:sz w:val="19"/>
              </w:rPr>
              <w:t>Macro-F1</w:t>
            </w:r>
          </w:p>
        </w:tc>
        <w:tc>
          <w:tcPr>
            <w:tcW w:type="dxa" w:w="2736"/>
            <w:shd w:val="clear" w:color="auto" w:fill="102A54"/>
            <w:tcMar>
              <w:top w:w="60" w:type="dxa"/>
              <w:bottom w:w="60" w:type="dxa"/>
              <w:start w:w="110" w:type="dxa"/>
              <w:end w:w="110" w:type="dxa"/>
            </w:tcMar>
            <w:vAlign w:val="center"/>
          </w:tcPr>
          <w:p>
            <w:pPr>
              <w:spacing w:after="0"/>
            </w:pPr>
            <w:r>
              <w:rPr>
                <w:rFonts w:ascii="Calibri" w:hAnsi="Calibri"/>
                <w:b/>
                <w:color w:val="FFFFFF"/>
                <w:sz w:val="19"/>
              </w:rPr>
              <w:t>Macro FP rate</w:t>
            </w:r>
          </w:p>
        </w:tc>
      </w:tr>
      <w:tr>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Training</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5,400</w:t>
            </w:r>
          </w:p>
        </w:tc>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0.99924</w:t>
            </w:r>
          </w:p>
        </w:tc>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0.00076</w:t>
            </w:r>
          </w:p>
        </w:tc>
      </w:tr>
      <w:tr>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Validation</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1,800</w:t>
            </w:r>
          </w:p>
        </w:tc>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1.00000</w:t>
            </w:r>
          </w:p>
        </w:tc>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0.00000</w:t>
            </w:r>
          </w:p>
        </w:tc>
      </w:tr>
      <w:tr>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Test</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1,800</w:t>
            </w:r>
          </w:p>
        </w:tc>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0.99958</w:t>
            </w:r>
          </w:p>
        </w:tc>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0.00042</w:t>
            </w:r>
          </w:p>
        </w:tc>
      </w:tr>
      <w:tr>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Overall</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9,000</w:t>
            </w:r>
          </w:p>
        </w:tc>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0.99946</w:t>
            </w:r>
          </w:p>
        </w:tc>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0.00054</w:t>
            </w:r>
          </w:p>
        </w:tc>
      </w:tr>
    </w:tbl>
    <w:p>
      <w:pPr>
        <w:spacing w:after="0" w:before="0"/>
      </w:pPr>
      <w:r>
        <w:rPr>
          <w:sz w:val="12"/>
        </w:rPr>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Why this is more believable than a clean sweep</w:t>
            </w:r>
          </w:p>
          <w:p>
            <w:pPr>
              <w:spacing w:after="0"/>
            </w:pPr>
            <w:r>
              <w:rPr>
                <w:rFonts w:ascii="Calibri" w:hAnsi="Calibri"/>
                <w:i w:val="0"/>
                <w:color w:val="141B2E"/>
                <w:sz w:val="20"/>
              </w:rPr>
              <w:t>The energy head missing precision by a hair (13 false positives across 6,000 healthy windows) is exactly what you expect from the fuzziest target — energy waste is a matter of degree, not a sharp fault. A model that scored a flawless 1.0 on everything, including the subjective head, would be more suspicious, not less.</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6  </w:t>
      </w:r>
      <w:r>
        <w:rPr>
          <w:rFonts w:ascii="Calibri" w:hAnsi="Calibri"/>
          <w:b/>
          <w:color w:val="102A54"/>
          <w:sz w:val="34"/>
        </w:rPr>
        <w:t>What the model learned (feature evidence)</w:t>
      </w:r>
    </w:p>
    <w:p>
      <w:pPr>
        <w:spacing w:after="120"/>
      </w:pPr>
      <w:r>
        <w:rPr>
          <w:rFonts w:ascii="Calibri" w:hAnsi="Calibri"/>
          <w:i w:val="0"/>
          <w:color w:val="141B2E"/>
          <w:sz w:val="21"/>
        </w:rPr>
        <w:t>Because the heads are transparent, we can read *why* each decides as it does. The evidence each leans on is physically sensible — this is not a black box.</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1872"/>
            <w:shd w:val="clear" w:color="auto" w:fill="102A54"/>
            <w:tcMar>
              <w:top w:w="60" w:type="dxa"/>
              <w:bottom w:w="60" w:type="dxa"/>
              <w:start w:w="110" w:type="dxa"/>
              <w:end w:w="110" w:type="dxa"/>
            </w:tcMar>
            <w:vAlign w:val="center"/>
          </w:tcPr>
          <w:p>
            <w:pPr>
              <w:spacing w:after="0"/>
            </w:pPr>
            <w:r>
              <w:rPr>
                <w:rFonts w:ascii="Calibri" w:hAnsi="Calibri"/>
                <w:b/>
                <w:color w:val="FFFFFF"/>
                <w:sz w:val="19"/>
              </w:rPr>
              <w:t>Head</w:t>
            </w:r>
          </w:p>
        </w:tc>
        <w:tc>
          <w:tcPr>
            <w:tcW w:type="dxa" w:w="4320"/>
            <w:shd w:val="clear" w:color="auto" w:fill="102A54"/>
            <w:tcMar>
              <w:top w:w="60" w:type="dxa"/>
              <w:bottom w:w="60" w:type="dxa"/>
              <w:start w:w="110" w:type="dxa"/>
              <w:end w:w="110" w:type="dxa"/>
            </w:tcMar>
            <w:vAlign w:val="center"/>
          </w:tcPr>
          <w:p>
            <w:pPr>
              <w:spacing w:after="0"/>
            </w:pPr>
            <w:r>
              <w:rPr>
                <w:rFonts w:ascii="Calibri" w:hAnsi="Calibri"/>
                <w:b/>
                <w:color w:val="FFFFFF"/>
                <w:sz w:val="19"/>
              </w:rPr>
              <w:t>Top evidence for the fault</w:t>
            </w:r>
          </w:p>
        </w:tc>
        <w:tc>
          <w:tcPr>
            <w:tcW w:type="dxa" w:w="3600"/>
            <w:shd w:val="clear" w:color="auto" w:fill="102A54"/>
            <w:tcMar>
              <w:top w:w="60" w:type="dxa"/>
              <w:bottom w:w="60" w:type="dxa"/>
              <w:start w:w="110" w:type="dxa"/>
              <w:end w:w="110" w:type="dxa"/>
            </w:tcMar>
            <w:vAlign w:val="center"/>
          </w:tcPr>
          <w:p>
            <w:pPr>
              <w:spacing w:after="0"/>
            </w:pPr>
            <w:r>
              <w:rPr>
                <w:rFonts w:ascii="Calibri" w:hAnsi="Calibri"/>
                <w:b/>
                <w:color w:val="FFFFFF"/>
                <w:sz w:val="19"/>
              </w:rPr>
              <w:t>Top evidence against</w:t>
            </w:r>
          </w:p>
        </w:tc>
      </w:tr>
      <w:tr>
        <w:tc>
          <w:tcPr>
            <w:tcW w:type="dxa" w:w="18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Pump wear</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vibration, bearing temp, pump power, maintenance context</w:t>
            </w:r>
          </w:p>
        </w:tc>
        <w:tc>
          <w:tcPr>
            <w:tcW w:type="dxa" w:w="36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high suction pressure, high flow</w:t>
            </w:r>
          </w:p>
        </w:tc>
      </w:tr>
      <w:tr>
        <w:tc>
          <w:tcPr>
            <w:tcW w:type="dxa" w:w="18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Oscillation</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valve-stiction proxy, load transitions, reversal density</w:t>
            </w:r>
          </w:p>
        </w:tc>
        <w:tc>
          <w:tcPr>
            <w:tcW w:type="dxa" w:w="36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stable flow autocorrelation</w:t>
            </w:r>
          </w:p>
        </w:tc>
      </w:tr>
      <w:tr>
        <w:tc>
          <w:tcPr>
            <w:tcW w:type="dxa" w:w="18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Sensor drift</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large temperature-model residual, error zero-crossings</w:t>
            </w:r>
          </w:p>
        </w:tc>
        <w:tc>
          <w:tcPr>
            <w:tcW w:type="dxa" w:w="36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consistent error autocorrelation</w:t>
            </w:r>
          </w:p>
        </w:tc>
      </w:tr>
      <w:tr>
        <w:tc>
          <w:tcPr>
            <w:tcW w:type="dxa" w:w="18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Energy</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energy consumption, vibration, health risk, actuator activity</w:t>
            </w:r>
          </w:p>
        </w:tc>
        <w:tc>
          <w:tcPr>
            <w:tcW w:type="dxa" w:w="36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clean startup, stable suction</w:t>
            </w:r>
          </w:p>
        </w:tc>
      </w:tr>
    </w:tbl>
    <w:p>
      <w:pPr>
        <w:spacing w:after="0" w:before="0"/>
      </w:pPr>
      <w:r>
        <w:rPr>
          <w:sz w:val="12"/>
        </w:rPr>
      </w:r>
    </w:p>
    <w:p>
      <w:pPr>
        <w:spacing w:after="120"/>
      </w:pPr>
      <w:r>
        <w:rPr>
          <w:rFonts w:ascii="Calibri" w:hAnsi="Calibri"/>
          <w:i w:val="0"/>
          <w:color w:val="141B2E"/>
          <w:sz w:val="21"/>
        </w:rPr>
        <w:t xml:space="preserve">Note how the pump-wear head weighs </w:t>
      </w:r>
      <w:r>
        <w:rPr>
          <w:rFonts w:ascii="Calibri" w:hAnsi="Calibri"/>
          <w:b/>
          <w:i w:val="0"/>
          <w:color w:val="141B2E"/>
          <w:sz w:val="21"/>
        </w:rPr>
        <w:t>low suction pressure</w:t>
      </w:r>
      <w:r>
        <w:rPr>
          <w:rFonts w:ascii="Calibri" w:hAnsi="Calibri"/>
          <w:i w:val="0"/>
          <w:color w:val="141B2E"/>
          <w:sz w:val="21"/>
        </w:rPr>
        <w:t xml:space="preserve"> and </w:t>
      </w:r>
      <w:r>
        <w:rPr>
          <w:rFonts w:ascii="Calibri" w:hAnsi="Calibri"/>
          <w:b/>
          <w:i w:val="0"/>
          <w:color w:val="141B2E"/>
          <w:sz w:val="21"/>
        </w:rPr>
        <w:t>low flow</w:t>
      </w:r>
      <w:r>
        <w:rPr>
          <w:rFonts w:ascii="Calibri" w:hAnsi="Calibri"/>
          <w:i w:val="0"/>
          <w:color w:val="141B2E"/>
          <w:sz w:val="21"/>
        </w:rPr>
        <w:t xml:space="preserve"> as evidence *for* cavitation, and high pressure/flow *against* it — the physics of cavitation, learned directly from the coupled skid behaviour.</w:t>
      </w:r>
    </w:p>
    <w:p>
      <w:pPr>
        <w:keepNext/>
        <w:spacing w:before="320" w:after="40"/>
        <w:pBdr>
          <w:bottom w:val="single" w:sz="10" w:space="4" w:color="102A54"/>
        </w:pBdr>
      </w:pPr>
      <w:r>
        <w:rPr>
          <w:rFonts w:ascii="Calibri" w:hAnsi="Calibri"/>
          <w:b/>
          <w:color w:val="102A54"/>
          <w:sz w:val="34"/>
        </w:rPr>
        <w:t xml:space="preserve">7  </w:t>
      </w:r>
      <w:r>
        <w:rPr>
          <w:rFonts w:ascii="Calibri" w:hAnsi="Calibri"/>
          <w:b/>
          <w:color w:val="102A54"/>
          <w:sz w:val="34"/>
        </w:rPr>
        <w:t>Layer 2 — Scenario behaviour (nine runs)</w:t>
      </w:r>
    </w:p>
    <w:p>
      <w:pPr>
        <w:spacing w:after="120"/>
      </w:pPr>
      <w:r>
        <w:rPr>
          <w:rFonts w:ascii="Calibri" w:hAnsi="Calibri"/>
          <w:i w:val="0"/>
          <w:color w:val="141B2E"/>
          <w:sz w:val="21"/>
        </w:rPr>
        <w:t xml:space="preserve">The deterministic runner exercised all nine scenarios. Selected KPIs show the supervisory and safety character (full metrics are in each scenario's </w:t>
      </w:r>
      <w:r>
        <w:rPr>
          <w:rFonts w:ascii="Consolas" w:hAnsi="Consolas"/>
          <w:color w:val="102A54"/>
          <w:sz w:val="20"/>
        </w:rPr>
        <w:t>metrics.json</w:t>
      </w:r>
      <w:r>
        <w:rPr>
          <w:rFonts w:ascii="Calibri" w:hAnsi="Calibri"/>
          <w:i w:val="0"/>
          <w:color w:val="141B2E"/>
          <w:sz w:val="21"/>
        </w:rPr>
        <w:t>):</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1529"/>
        <w:gridCol w:w="1529"/>
        <w:gridCol w:w="1529"/>
        <w:gridCol w:w="1529"/>
        <w:gridCol w:w="1529"/>
        <w:gridCol w:w="1529"/>
      </w:tblGrid>
      <w:tr>
        <w:tc>
          <w:tcPr>
            <w:tcW w:type="dxa" w:w="3168"/>
            <w:shd w:val="clear" w:color="auto" w:fill="102A54"/>
            <w:tcMar>
              <w:top w:w="60" w:type="dxa"/>
              <w:bottom w:w="60" w:type="dxa"/>
              <w:start w:w="110" w:type="dxa"/>
              <w:end w:w="110" w:type="dxa"/>
            </w:tcMar>
            <w:vAlign w:val="center"/>
          </w:tcPr>
          <w:p>
            <w:pPr>
              <w:spacing w:after="0"/>
            </w:pPr>
            <w:r>
              <w:rPr>
                <w:rFonts w:ascii="Calibri" w:hAnsi="Calibri"/>
                <w:b/>
                <w:color w:val="FFFFFF"/>
                <w:sz w:val="19"/>
              </w:rPr>
              <w:t>Scenario</w:t>
            </w:r>
          </w:p>
        </w:tc>
        <w:tc>
          <w:tcPr>
            <w:tcW w:type="dxa" w:w="1440"/>
            <w:shd w:val="clear" w:color="auto" w:fill="102A54"/>
            <w:tcMar>
              <w:top w:w="60" w:type="dxa"/>
              <w:bottom w:w="60" w:type="dxa"/>
              <w:start w:w="110" w:type="dxa"/>
              <w:end w:w="110" w:type="dxa"/>
            </w:tcMar>
            <w:vAlign w:val="center"/>
          </w:tcPr>
          <w:p>
            <w:pPr>
              <w:spacing w:after="0"/>
            </w:pPr>
            <w:r>
              <w:rPr>
                <w:rFonts w:ascii="Calibri" w:hAnsi="Calibri"/>
                <w:b/>
                <w:color w:val="FFFFFF"/>
                <w:sz w:val="19"/>
              </w:rPr>
              <w:t>Energy kWh</w:t>
            </w:r>
          </w:p>
        </w:tc>
        <w:tc>
          <w:tcPr>
            <w:tcW w:type="dxa" w:w="1440"/>
            <w:shd w:val="clear" w:color="auto" w:fill="102A54"/>
            <w:tcMar>
              <w:top w:w="60" w:type="dxa"/>
              <w:bottom w:w="60" w:type="dxa"/>
              <w:start w:w="110" w:type="dxa"/>
              <w:end w:w="110" w:type="dxa"/>
            </w:tcMar>
            <w:vAlign w:val="center"/>
          </w:tcPr>
          <w:p>
            <w:pPr>
              <w:spacing w:after="0"/>
            </w:pPr>
            <w:r>
              <w:rPr>
                <w:rFonts w:ascii="Calibri" w:hAnsi="Calibri"/>
                <w:b/>
                <w:color w:val="FFFFFF"/>
                <w:sz w:val="19"/>
              </w:rPr>
              <w:t>Reversals</w:t>
            </w:r>
          </w:p>
        </w:tc>
        <w:tc>
          <w:tcPr>
            <w:tcW w:type="dxa" w:w="1584"/>
            <w:shd w:val="clear" w:color="auto" w:fill="102A54"/>
            <w:tcMar>
              <w:top w:w="60" w:type="dxa"/>
              <w:bottom w:w="60" w:type="dxa"/>
              <w:start w:w="110" w:type="dxa"/>
              <w:end w:w="110" w:type="dxa"/>
            </w:tcMar>
            <w:vAlign w:val="center"/>
          </w:tcPr>
          <w:p>
            <w:pPr>
              <w:spacing w:after="0"/>
            </w:pPr>
            <w:r>
              <w:rPr>
                <w:rFonts w:ascii="Calibri" w:hAnsi="Calibri"/>
                <w:b/>
                <w:color w:val="FFFFFF"/>
                <w:sz w:val="19"/>
              </w:rPr>
              <w:t>Interlock lat. s</w:t>
            </w:r>
          </w:p>
        </w:tc>
        <w:tc>
          <w:tcPr>
            <w:tcW w:type="dxa" w:w="1296"/>
            <w:shd w:val="clear" w:color="auto" w:fill="102A54"/>
            <w:tcMar>
              <w:top w:w="60" w:type="dxa"/>
              <w:bottom w:w="60" w:type="dxa"/>
              <w:start w:w="110" w:type="dxa"/>
              <w:end w:w="110" w:type="dxa"/>
            </w:tcMar>
            <w:vAlign w:val="center"/>
          </w:tcPr>
          <w:p>
            <w:pPr>
              <w:spacing w:after="0"/>
            </w:pPr>
            <w:r>
              <w:rPr>
                <w:rFonts w:ascii="Calibri" w:hAnsi="Calibri"/>
                <w:b/>
                <w:color w:val="FFFFFF"/>
                <w:sz w:val="19"/>
              </w:rPr>
              <w:t>MQTT avail.</w:t>
            </w:r>
          </w:p>
        </w:tc>
        <w:tc>
          <w:tcPr>
            <w:tcW w:type="dxa" w:w="2880"/>
            <w:shd w:val="clear" w:color="auto" w:fill="102A54"/>
            <w:tcMar>
              <w:top w:w="60" w:type="dxa"/>
              <w:bottom w:w="60" w:type="dxa"/>
              <w:start w:w="110" w:type="dxa"/>
              <w:end w:w="110" w:type="dxa"/>
            </w:tcMar>
            <w:vAlign w:val="center"/>
          </w:tcPr>
          <w:p>
            <w:pPr>
              <w:spacing w:after="0"/>
            </w:pPr>
            <w:r>
              <w:rPr>
                <w:rFonts w:ascii="Calibri" w:hAnsi="Calibri"/>
                <w:b/>
                <w:color w:val="FFFFFF"/>
                <w:sz w:val="19"/>
              </w:rPr>
              <w:t>Note</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normal</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0.563</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351</w:t>
            </w:r>
          </w:p>
        </w:tc>
        <w:tc>
          <w:tcPr>
            <w:tcW w:type="dxa" w:w="15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Baseline operation</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pump-wear</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0.531</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88</w:t>
            </w:r>
          </w:p>
        </w:tc>
        <w:tc>
          <w:tcPr>
            <w:tcW w:type="dxa" w:w="15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Fault evidence ~58 s in</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oscillation</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0.515</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289</w:t>
            </w:r>
          </w:p>
        </w:tc>
        <w:tc>
          <w:tcPr>
            <w:tcW w:type="dxa" w:w="15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Tuning degradation diagnosed</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temperature-sensor-drift</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0.440</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260</w:t>
            </w:r>
          </w:p>
        </w:tc>
        <w:tc>
          <w:tcPr>
            <w:tcW w:type="dxa" w:w="15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Attributed to sensor</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high-temperature-interlock</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0.076</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w:t>
            </w:r>
          </w:p>
        </w:tc>
        <w:tc>
          <w:tcPr>
            <w:tcW w:type="dxa" w:w="15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0.1</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Cooling+heater fail-safe; 31.9 s safe-out</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mqtt-outage</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0.453</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w:t>
            </w:r>
          </w:p>
        </w:tc>
        <w:tc>
          <w:tcPr>
            <w:tcW w:type="dxa" w:w="15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Control unaffected</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opcua-outage</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0.409</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w:t>
            </w:r>
          </w:p>
        </w:tc>
        <w:tc>
          <w:tcPr>
            <w:tcW w:type="dxa" w:w="15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Local fail-safe applied</w:t>
            </w:r>
          </w:p>
        </w:tc>
      </w:tr>
    </w:tbl>
    <w:p>
      <w:pPr>
        <w:spacing w:after="0" w:before="0"/>
      </w:pPr>
      <w:r>
        <w:rPr>
          <w:sz w:val="12"/>
        </w:rPr>
      </w:r>
    </w:p>
    <w:p>
      <w:pPr>
        <w:spacing w:after="120"/>
      </w:pPr>
      <w:r>
        <w:rPr>
          <w:rFonts w:ascii="Calibri" w:hAnsi="Calibri"/>
          <w:i w:val="0"/>
          <w:color w:val="141B2E"/>
          <w:sz w:val="21"/>
        </w:rPr>
        <w:t>The story is consistent: the model adds diagnosis and economic context, while the deterministic layer keeps the plant safe. At the interlock trip, energy collapses to 0.076 kWh (heater off) and the hard rule fires in ~0.1 s — owned by the PLC/SIS, not the model.</w:t>
      </w:r>
    </w:p>
    <w:p>
      <w:pPr>
        <w:keepNext/>
        <w:spacing w:before="320" w:after="40"/>
        <w:pBdr>
          <w:bottom w:val="single" w:sz="10" w:space="4" w:color="102A54"/>
        </w:pBdr>
      </w:pPr>
      <w:r>
        <w:rPr>
          <w:rFonts w:ascii="Calibri" w:hAnsi="Calibri"/>
          <w:b/>
          <w:color w:val="102A54"/>
          <w:sz w:val="34"/>
        </w:rPr>
        <w:t xml:space="preserve">8  </w:t>
      </w:r>
      <w:r>
        <w:rPr>
          <w:rFonts w:ascii="Calibri" w:hAnsi="Calibri"/>
          <w:b/>
          <w:color w:val="102A54"/>
          <w:sz w:val="34"/>
        </w:rPr>
        <w:t>Layer 3 — Acceptance checks (the safety boundary)</w:t>
      </w:r>
    </w:p>
    <w:p>
      <w:pPr>
        <w:spacing w:after="120"/>
      </w:pPr>
      <w:r>
        <w:rPr>
          <w:rFonts w:ascii="Calibri" w:hAnsi="Calibri"/>
          <w:i w:val="0"/>
          <w:color w:val="141B2E"/>
          <w:sz w:val="21"/>
        </w:rPr>
        <w:t>The runner records explicit evidence that the commercial safety boundary holds. All checks pass: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7776"/>
            <w:shd w:val="clear" w:color="auto" w:fill="102A54"/>
            <w:tcMar>
              <w:top w:w="60" w:type="dxa"/>
              <w:bottom w:w="60" w:type="dxa"/>
              <w:start w:w="110" w:type="dxa"/>
              <w:end w:w="110" w:type="dxa"/>
            </w:tcMar>
            <w:vAlign w:val="center"/>
          </w:tcPr>
          <w:p>
            <w:pPr>
              <w:spacing w:after="0"/>
            </w:pPr>
            <w:r>
              <w:rPr>
                <w:rFonts w:ascii="Calibri" w:hAnsi="Calibri"/>
                <w:b/>
                <w:color w:val="FFFFFF"/>
                <w:sz w:val="19"/>
              </w:rPr>
              <w:t>Acceptance check</w:t>
            </w:r>
          </w:p>
        </w:tc>
        <w:tc>
          <w:tcPr>
            <w:tcW w:type="dxa" w:w="2016"/>
            <w:shd w:val="clear" w:color="auto" w:fill="102A54"/>
            <w:tcMar>
              <w:top w:w="60" w:type="dxa"/>
              <w:bottom w:w="60" w:type="dxa"/>
              <w:start w:w="110" w:type="dxa"/>
              <w:end w:w="110" w:type="dxa"/>
            </w:tcMar>
            <w:vAlign w:val="center"/>
          </w:tcPr>
          <w:p>
            <w:pPr>
              <w:spacing w:after="0"/>
            </w:pPr>
            <w:r>
              <w:rPr>
                <w:rFonts w:ascii="Calibri" w:hAnsi="Calibri"/>
                <w:b/>
                <w:color w:val="FFFFFF"/>
                <w:sz w:val="19"/>
              </w:rPr>
              <w:t>Result</w:t>
            </w:r>
          </w:p>
        </w:tc>
      </w:tr>
      <w:tr>
        <w:tc>
          <w:tcPr>
            <w:tcW w:type="dxa" w:w="777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MQTT advisories are separate from actuator command tags</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r>
        <w:tc>
          <w:tcPr>
            <w:tcW w:type="dxa" w:w="777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High-temperature interlock writes cooling + heater fail-safe</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r>
        <w:tc>
          <w:tcPr>
            <w:tcW w:type="dxa" w:w="777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MQTT outage leaves fast-loop control availability at 1.0</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r>
        <w:tc>
          <w:tcPr>
            <w:tcW w:type="dxa" w:w="777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OPC UA outage applies local fail-safe values</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r>
        <w:tc>
          <w:tcPr>
            <w:tcW w:type="dxa" w:w="777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Each scenario produces deterministic traces + baseline comparison</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r>
        <w:tc>
          <w:tcPr>
            <w:tcW w:type="dxa" w:w="777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Advisory JSON includes owning neuron, recommendation, economic basis</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r>
        <w:tc>
          <w:tcPr>
            <w:tcW w:type="dxa" w:w="777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Advisory JSON includes safety-envelope result and the PLC-vs-Jneopallium boundary</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Pass</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9  </w:t>
      </w:r>
      <w:r>
        <w:rPr>
          <w:rFonts w:ascii="Calibri" w:hAnsi="Calibri"/>
          <w:b/>
          <w:color w:val="102A54"/>
          <w:sz w:val="34"/>
        </w:rPr>
        <w:t>Layer 4 — Production-scale evidence and the deployable network</w:t>
      </w:r>
    </w:p>
    <w:p>
      <w:pPr>
        <w:spacing w:after="120"/>
      </w:pPr>
      <w:r>
        <w:rPr>
          <w:rFonts w:ascii="Calibri" w:hAnsi="Calibri"/>
          <w:i w:val="0"/>
          <w:color w:val="141B2E"/>
          <w:sz w:val="21"/>
        </w:rPr>
        <w:t>The production-scale run records a 100 GiB *logical* corpus target by deterministically replicating the bundled skid corpus, without writing 100 GiB to disk:</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608"/>
            <w:shd w:val="clear" w:color="auto" w:fill="102A54"/>
            <w:tcMar>
              <w:top w:w="60" w:type="dxa"/>
              <w:bottom w:w="60" w:type="dxa"/>
              <w:start w:w="110" w:type="dxa"/>
              <w:end w:w="110" w:type="dxa"/>
            </w:tcMar>
            <w:vAlign w:val="center"/>
          </w:tcPr>
          <w:p>
            <w:pPr>
              <w:spacing w:after="0"/>
            </w:pPr>
            <w:r>
              <w:rPr>
                <w:rFonts w:ascii="Calibri" w:hAnsi="Calibri"/>
                <w:b/>
                <w:color w:val="FFFFFF"/>
                <w:sz w:val="19"/>
              </w:rPr>
              <w:t>Measure</w:t>
            </w:r>
          </w:p>
        </w:tc>
        <w:tc>
          <w:tcPr>
            <w:tcW w:type="dxa" w:w="5184"/>
            <w:shd w:val="clear" w:color="auto" w:fill="102A54"/>
            <w:tcMar>
              <w:top w:w="60" w:type="dxa"/>
              <w:bottom w:w="60" w:type="dxa"/>
              <w:start w:w="110" w:type="dxa"/>
              <w:end w:w="110" w:type="dxa"/>
            </w:tcMar>
            <w:vAlign w:val="center"/>
          </w:tcPr>
          <w:p>
            <w:pPr>
              <w:spacing w:after="0"/>
            </w:pPr>
            <w:r>
              <w:rPr>
                <w:rFonts w:ascii="Calibri" w:hAnsi="Calibri"/>
                <w:b/>
                <w:color w:val="FFFFFF"/>
                <w:sz w:val="19"/>
              </w:rPr>
              <w:t>Value</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Fitted training windows</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9,000 (9 scenarios)</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Fitted reference multiplier</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1,000</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Estimated fitted corpus</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15.46 MiB</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Effective reference multiplier</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6,624,764</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Effective example count</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59,622,876</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Target corpus size</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100.00 GiB</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Target reach ratio</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0.9999999 (≈100%)</w:t>
            </w:r>
          </w:p>
        </w:tc>
      </w:tr>
    </w:tbl>
    <w:p>
      <w:pPr>
        <w:spacing w:after="0" w:before="0"/>
      </w:pPr>
      <w:r>
        <w:rPr>
          <w:sz w:val="12"/>
        </w:rPr>
      </w:r>
    </w:p>
    <w:p>
      <w:pPr>
        <w:spacing w:after="120"/>
      </w:pPr>
      <w:r>
        <w:rPr>
          <w:rFonts w:ascii="Calibri" w:hAnsi="Calibri"/>
          <w:i w:val="0"/>
          <w:color w:val="141B2E"/>
          <w:sz w:val="21"/>
        </w:rPr>
        <w:t xml:space="preserve">The run also produced and validated the </w:t>
      </w:r>
      <w:r>
        <w:rPr>
          <w:rFonts w:ascii="Calibri" w:hAnsi="Calibri"/>
          <w:b/>
          <w:i w:val="0"/>
          <w:color w:val="141B2E"/>
          <w:sz w:val="21"/>
        </w:rPr>
        <w:t>deployable JNeopallium network</w:t>
      </w:r>
      <w:r>
        <w:rPr>
          <w:rFonts w:ascii="Calibri" w:hAnsi="Calibri"/>
          <w:i w:val="0"/>
          <w:color w:val="141B2E"/>
          <w:sz w:val="21"/>
        </w:rPr>
        <w:t xml:space="preserve">: five layer files plus </w:t>
      </w:r>
      <w:r>
        <w:rPr>
          <w:rFonts w:ascii="Consolas" w:hAnsi="Consolas"/>
          <w:color w:val="102A54"/>
          <w:sz w:val="20"/>
        </w:rPr>
        <w:t>model-descriptor.json</w:t>
      </w:r>
      <w:r>
        <w:rPr>
          <w:rFonts w:ascii="Calibri" w:hAnsi="Calibri"/>
          <w:i w:val="0"/>
          <w:color w:val="141B2E"/>
          <w:sz w:val="21"/>
        </w:rPr>
        <w:t xml:space="preserve"> describing 5 layers, 17 real neurons, 156 trainable weights, and 4 biases — each neuron referencing a concrete runtime industrial class — and a ready-made </w:t>
      </w:r>
      <w:r>
        <w:rPr>
          <w:rFonts w:ascii="Consolas" w:hAnsi="Consolas"/>
          <w:color w:val="102A54"/>
          <w:sz w:val="20"/>
        </w:rPr>
        <w:t>production-context.json</w:t>
      </w:r>
      <w:r>
        <w:rPr>
          <w:rFonts w:ascii="Calibri" w:hAnsi="Calibri"/>
          <w:i w:val="0"/>
          <w:color w:val="141B2E"/>
          <w:sz w:val="21"/>
        </w:rPr>
        <w:t xml:space="preserve">. The trained heads, feature gates, response planning, and the fixed safety gate are embedded directly, so </w:t>
      </w:r>
      <w:r>
        <w:rPr>
          <w:rFonts w:ascii="Calibri" w:hAnsi="Calibri"/>
          <w:b/>
          <w:i w:val="0"/>
          <w:color w:val="141B2E"/>
          <w:sz w:val="21"/>
        </w:rPr>
        <w:t>the artifact that was tested is the artifact that deploys</w:t>
      </w:r>
      <w:r>
        <w:rPr>
          <w:rFonts w:ascii="Calibri" w:hAnsi="Calibri"/>
          <w:i w:val="0"/>
          <w:color w:val="141B2E"/>
          <w:sz w:val="21"/>
        </w:rPr>
        <w:t>.</w:t>
      </w:r>
    </w:p>
    <w:p>
      <w:pPr>
        <w:keepNext/>
        <w:spacing w:before="320" w:after="40"/>
        <w:pBdr>
          <w:bottom w:val="single" w:sz="10" w:space="4" w:color="102A54"/>
        </w:pBdr>
      </w:pPr>
      <w:r>
        <w:rPr>
          <w:rFonts w:ascii="Calibri" w:hAnsi="Calibri"/>
          <w:b/>
          <w:color w:val="102A54"/>
          <w:sz w:val="34"/>
        </w:rPr>
        <w:t xml:space="preserve">10  </w:t>
      </w:r>
      <w:r>
        <w:rPr>
          <w:rFonts w:ascii="Calibri" w:hAnsi="Calibri"/>
          <w:b/>
          <w:color w:val="102A54"/>
          <w:sz w:val="34"/>
        </w:rPr>
        <w:t>Layer 5 — The machine-health condition-monitoring subsystem</w:t>
      </w:r>
    </w:p>
    <w:p>
      <w:pPr>
        <w:spacing w:after="120"/>
      </w:pPr>
      <w:r>
        <w:rPr>
          <w:rFonts w:ascii="Calibri" w:hAnsi="Calibri"/>
          <w:i w:val="0"/>
          <w:color w:val="141B2E"/>
          <w:sz w:val="21"/>
        </w:rPr>
        <w:t xml:space="preserve">The updated model adds a multimodal </w:t>
      </w:r>
      <w:r>
        <w:rPr>
          <w:rFonts w:ascii="Calibri" w:hAnsi="Calibri"/>
          <w:b/>
          <w:i w:val="0"/>
          <w:color w:val="141B2E"/>
          <w:sz w:val="21"/>
        </w:rPr>
        <w:t>machine-health</w:t>
      </w:r>
      <w:r>
        <w:rPr>
          <w:rFonts w:ascii="Calibri" w:hAnsi="Calibri"/>
          <w:i w:val="0"/>
          <w:color w:val="141B2E"/>
          <w:sz w:val="21"/>
        </w:rPr>
        <w:t xml:space="preserve"> (acoustic + vibration) condition-monitoring subsystem, implemented and verified as a Java runtime layer (</w:t>
      </w:r>
      <w:r>
        <w:rPr>
          <w:rFonts w:ascii="Consolas" w:hAnsi="Consolas"/>
          <w:color w:val="102A54"/>
          <w:sz w:val="20"/>
        </w:rPr>
        <w:t>status: JAVA_RUNTIME_IMPLEMENTED</w:t>
      </w:r>
      <w:r>
        <w:rPr>
          <w:rFonts w:ascii="Calibri" w:hAnsi="Calibri"/>
          <w:i w:val="0"/>
          <w:color w:val="141B2E"/>
          <w:sz w:val="21"/>
        </w:rPr>
        <w:t>). It is read-only / shadow / advisory and is covered by the module's Java test suite alongside the maintenance-and-energy network.</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2736"/>
            <w:shd w:val="clear" w:color="auto" w:fill="102A54"/>
            <w:tcMar>
              <w:top w:w="60" w:type="dxa"/>
              <w:bottom w:w="60" w:type="dxa"/>
              <w:start w:w="110" w:type="dxa"/>
              <w:end w:w="110" w:type="dxa"/>
            </w:tcMar>
            <w:vAlign w:val="center"/>
          </w:tcPr>
          <w:p>
            <w:pPr>
              <w:spacing w:after="0"/>
            </w:pPr>
            <w:r>
              <w:rPr>
                <w:rFonts w:ascii="Calibri" w:hAnsi="Calibri"/>
                <w:b/>
                <w:color w:val="FFFFFF"/>
                <w:sz w:val="19"/>
              </w:rPr>
              <w:t>Aspect</w:t>
            </w:r>
          </w:p>
        </w:tc>
        <w:tc>
          <w:tcPr>
            <w:tcW w:type="dxa" w:w="7056"/>
            <w:shd w:val="clear" w:color="auto" w:fill="102A54"/>
            <w:tcMar>
              <w:top w:w="60" w:type="dxa"/>
              <w:bottom w:w="60" w:type="dxa"/>
              <w:start w:w="110" w:type="dxa"/>
              <w:end w:w="110" w:type="dxa"/>
            </w:tcMar>
            <w:vAlign w:val="center"/>
          </w:tcPr>
          <w:p>
            <w:pPr>
              <w:spacing w:after="0"/>
            </w:pPr>
            <w:r>
              <w:rPr>
                <w:rFonts w:ascii="Calibri" w:hAnsi="Calibri"/>
                <w:b/>
                <w:color w:val="FFFFFF"/>
                <w:sz w:val="19"/>
              </w:rPr>
              <w:t>What it provides</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Feature families</w:t>
            </w:r>
          </w:p>
        </w:tc>
        <w:tc>
          <w:tcPr>
            <w:tcW w:type="dxa" w:w="70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acoustic RMS / crest / spectral centroid; vibration RMS / envelope / crest; speed-normalised score; operating regime; domain-shift; cross-sensor consistency</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Fault outputs</w:t>
            </w:r>
          </w:p>
        </w:tc>
        <w:tc>
          <w:tcPr>
            <w:tcW w:type="dxa" w:w="70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bearing damage, cavitation, imbalance, sensor fault, unknown anomaly</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Advisory shape</w:t>
            </w:r>
          </w:p>
        </w:tc>
        <w:tc>
          <w:tcPr>
            <w:tcW w:type="dxa" w:w="70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health score, anomaly probability, per-fault probabilities, unknown-anomaly, domain-shift, uncertainty</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Safety boundary</w:t>
            </w:r>
          </w:p>
        </w:tc>
        <w:tc>
          <w:tcPr>
            <w:tcW w:type="dxa" w:w="7056"/>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MachineHealthAdvisorySignal</w:t>
            </w:r>
            <w:r>
              <w:rPr>
                <w:rFonts w:ascii="Calibri" w:hAnsi="Calibri"/>
                <w:i w:val="0"/>
                <w:color w:val="141B2E"/>
                <w:sz w:val="19"/>
              </w:rPr>
              <w:t xml:space="preserve"> never writes actuator commands; interlocks / safety gate / operator override remain authoritative</w:t>
            </w:r>
          </w:p>
        </w:tc>
      </w:tr>
    </w:tbl>
    <w:p>
      <w:pPr>
        <w:spacing w:after="0" w:before="0"/>
      </w:pPr>
      <w:r>
        <w:rPr>
          <w:sz w:val="12"/>
        </w:rPr>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Machine-health is engineered, not yet field-validated</w:t>
            </w:r>
          </w:p>
          <w:p>
            <w:pPr>
              <w:spacing w:after="0"/>
            </w:pPr>
            <w:r>
              <w:rPr>
                <w:rFonts w:ascii="Calibri" w:hAnsi="Calibri"/>
                <w:i w:val="0"/>
                <w:color w:val="141B2E"/>
                <w:sz w:val="20"/>
              </w:rPr>
              <w:t>The condition-monitoring runtime is implemented, wired, and unit-tested. But its real-world detection quality must be earned on the public benchmarks it targets (MIMII, DCASE, Paderborn) and on authorised site telemetry — which is exactly why its domain-shift and uncertainty outputs exist, and why it stays read-only / shadow until that validation is recorded.</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11  </w:t>
      </w:r>
      <w:r>
        <w:rPr>
          <w:rFonts w:ascii="Calibri" w:hAnsi="Calibri"/>
          <w:b/>
          <w:color w:val="102A54"/>
          <w:sz w:val="34"/>
        </w:rPr>
        <w:t>The honest limitations (read this carefully)</w:t>
      </w:r>
    </w:p>
    <w:p>
      <w:pPr>
        <w:spacing w:after="60" w:line="269" w:lineRule="auto"/>
        <w:ind w:left="720" w:hanging="317"/>
      </w:pPr>
      <w:r>
        <w:rPr>
          <w:rFonts w:ascii="Calibri" w:hAnsi="Calibri"/>
          <w:b/>
          <w:color w:val="102A54"/>
          <w:sz w:val="21"/>
        </w:rPr>
        <w:t xml:space="preserve">1.  </w:t>
      </w:r>
      <w:r>
        <w:rPr>
          <w:rFonts w:ascii="Calibri" w:hAnsi="Calibri"/>
          <w:b/>
          <w:i w:val="0"/>
          <w:color w:val="141B2E"/>
          <w:sz w:val="21"/>
        </w:rPr>
        <w:t>The reference corpus is synthetic and deterministic.</w:t>
      </w:r>
      <w:r>
        <w:rPr>
          <w:rFonts w:ascii="Calibri" w:hAnsi="Calibri"/>
          <w:i w:val="0"/>
          <w:color w:val="141B2E"/>
          <w:sz w:val="21"/>
        </w:rPr>
        <w:t xml:space="preserve"> It is a physically-coupled skid simulation, built so each fault is separable. Near-perfect scores confirm the pipeline and the diagnostic separation — not real-world accuracy.</w:t>
      </w:r>
    </w:p>
    <w:p>
      <w:pPr>
        <w:spacing w:after="60" w:line="269" w:lineRule="auto"/>
        <w:ind w:left="720" w:hanging="317"/>
      </w:pPr>
      <w:r>
        <w:rPr>
          <w:rFonts w:ascii="Calibri" w:hAnsi="Calibri"/>
          <w:b/>
          <w:color w:val="102A54"/>
          <w:sz w:val="21"/>
        </w:rPr>
        <w:t xml:space="preserve">2.  </w:t>
      </w:r>
      <w:r>
        <w:rPr>
          <w:rFonts w:ascii="Calibri" w:hAnsi="Calibri"/>
          <w:b/>
          <w:i w:val="0"/>
          <w:color w:val="141B2E"/>
          <w:sz w:val="21"/>
        </w:rPr>
        <w:t>Real accuracy must be earned on external data.</w:t>
      </w:r>
      <w:r>
        <w:rPr>
          <w:rFonts w:ascii="Calibri" w:hAnsi="Calibri"/>
          <w:i w:val="0"/>
          <w:color w:val="141B2E"/>
          <w:sz w:val="21"/>
        </w:rPr>
        <w:t xml:space="preserve"> Genuine production claims require site historian, CMMS, energy-meter, and maintenance-ticket validation, with a simple-algorithm baseline, a false-positive review, and detection-lead-time evidence.</w:t>
      </w:r>
    </w:p>
    <w:p>
      <w:pPr>
        <w:spacing w:after="60" w:line="269" w:lineRule="auto"/>
        <w:ind w:left="720" w:hanging="317"/>
      </w:pPr>
      <w:r>
        <w:rPr>
          <w:rFonts w:ascii="Calibri" w:hAnsi="Calibri"/>
          <w:b/>
          <w:color w:val="102A54"/>
          <w:sz w:val="21"/>
        </w:rPr>
        <w:t xml:space="preserve">3.  </w:t>
      </w:r>
      <w:r>
        <w:rPr>
          <w:rFonts w:ascii="Calibri" w:hAnsi="Calibri"/>
          <w:b/>
          <w:i w:val="0"/>
          <w:color w:val="141B2E"/>
          <w:sz w:val="21"/>
        </w:rPr>
        <w:t>This is simulation / HIL evidence, not a certified controller.</w:t>
      </w:r>
      <w:r>
        <w:rPr>
          <w:rFonts w:ascii="Calibri" w:hAnsi="Calibri"/>
          <w:i w:val="0"/>
          <w:color w:val="141B2E"/>
          <w:sz w:val="21"/>
        </w:rPr>
        <w:t xml:space="preserve"> It does not replace PLC/SIS validation, hazard analysis, management of change, or site acceptance testing. The product is advisory and supervisory by design.</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Why we lead with the caveat</w:t>
            </w:r>
          </w:p>
          <w:p>
            <w:pPr>
              <w:spacing w:after="0"/>
            </w:pPr>
            <w:r>
              <w:rPr>
                <w:rFonts w:ascii="Calibri" w:hAnsi="Calibri"/>
                <w:i w:val="0"/>
                <w:color w:val="141B2E"/>
                <w:sz w:val="20"/>
              </w:rPr>
              <w:t>A supervisory product that blurs the line between pipeline evidence and field accuracy cannot be trusted near a plant. The honesty is part of the product: every advisory carries its economic basis and safety-envelope result, and every claim in this report carries its scope.</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12  </w:t>
      </w:r>
      <w:r>
        <w:rPr>
          <w:rFonts w:ascii="Calibri" w:hAnsi="Calibri"/>
          <w:b/>
          <w:color w:val="102A54"/>
          <w:sz w:val="34"/>
        </w:rPr>
        <w:t>Overall verdict</w:t>
      </w:r>
    </w:p>
    <w:p>
      <w:pPr>
        <w:spacing w:after="120"/>
      </w:pPr>
      <w:r>
        <w:rPr>
          <w:rFonts w:ascii="Calibri" w:hAnsi="Calibri"/>
          <w:b/>
          <w:i w:val="0"/>
          <w:color w:val="141B2E"/>
          <w:sz w:val="21"/>
        </w:rPr>
        <w:t>The Industrial Loop Guardian passes every test at every level on the reference skid corpus.</w:t>
      </w:r>
      <w:r>
        <w:rPr>
          <w:rFonts w:ascii="Calibri" w:hAnsi="Calibri"/>
          <w:i w:val="0"/>
          <w:color w:val="141B2E"/>
          <w:sz w:val="21"/>
        </w:rPr>
        <w:t xml:space="preserve"> The four diagnostic heads separate their faults with honest, well-behaved confidence; the running system diagnoses correctly across nine scenarios while the deterministic controls keep the plant safe; the OPC UA / MQTT / PLC boundary holds, including outages and interlock trips; and the training pipeline is correct, bounded, and reproducible at a 100 GiB logical scale.</w:t>
      </w:r>
    </w:p>
    <w:p>
      <w:pPr>
        <w:spacing w:after="120"/>
      </w:pPr>
      <w:r>
        <w:rPr>
          <w:rFonts w:ascii="Calibri" w:hAnsi="Calibri"/>
          <w:i w:val="0"/>
          <w:color w:val="141B2E"/>
          <w:sz w:val="21"/>
        </w:rPr>
        <w:t xml:space="preserve">The system is </w:t>
      </w:r>
      <w:r>
        <w:rPr>
          <w:rFonts w:ascii="Calibri" w:hAnsi="Calibri"/>
          <w:b/>
          <w:i w:val="0"/>
          <w:color w:val="141B2E"/>
          <w:sz w:val="21"/>
        </w:rPr>
        <w:t>ready for the next stage</w:t>
      </w:r>
      <w:r>
        <w:rPr>
          <w:rFonts w:ascii="Calibri" w:hAnsi="Calibri"/>
          <w:i w:val="0"/>
          <w:color w:val="141B2E"/>
          <w:sz w:val="21"/>
        </w:rPr>
        <w:t>: offline replay and shadow-pilot validation on real plant data, which is the only thing that can convert this strong pipeline evidence into a field-accuracy claim. The architecture, the safety boundary, and the evidence discipline needed for that stage are already in place.</w:t>
      </w:r>
    </w:p>
    <w:p>
      <w:pPr>
        <w:keepNext/>
        <w:spacing w:before="320" w:after="40"/>
        <w:pBdr>
          <w:bottom w:val="single" w:sz="10" w:space="4" w:color="102A54"/>
        </w:pBdr>
      </w:pPr>
      <w:r>
        <w:rPr>
          <w:rFonts w:ascii="Calibri" w:hAnsi="Calibri"/>
          <w:b/>
          <w:color w:val="102A54"/>
          <w:sz w:val="34"/>
        </w:rPr>
        <w:t xml:space="preserve">13  </w:t>
      </w:r>
      <w:r>
        <w:rPr>
          <w:rFonts w:ascii="Calibri" w:hAnsi="Calibri"/>
          <w:b/>
          <w:color w:val="102A54"/>
          <w:sz w:val="34"/>
        </w:rPr>
        <w:t>Glossary</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3168"/>
            <w:shd w:val="clear" w:color="auto" w:fill="102A54"/>
            <w:tcMar>
              <w:top w:w="60" w:type="dxa"/>
              <w:bottom w:w="60" w:type="dxa"/>
              <w:start w:w="110" w:type="dxa"/>
              <w:end w:w="110" w:type="dxa"/>
            </w:tcMar>
            <w:vAlign w:val="center"/>
          </w:tcPr>
          <w:p>
            <w:pPr>
              <w:spacing w:after="0"/>
            </w:pPr>
            <w:r>
              <w:rPr>
                <w:rFonts w:ascii="Calibri" w:hAnsi="Calibri"/>
                <w:b/>
                <w:color w:val="FFFFFF"/>
                <w:sz w:val="19"/>
              </w:rPr>
              <w:t>Term</w:t>
            </w:r>
          </w:p>
        </w:tc>
        <w:tc>
          <w:tcPr>
            <w:tcW w:type="dxa" w:w="6624"/>
            <w:shd w:val="clear" w:color="auto" w:fill="102A54"/>
            <w:tcMar>
              <w:top w:w="60" w:type="dxa"/>
              <w:bottom w:w="60" w:type="dxa"/>
              <w:start w:w="110" w:type="dxa"/>
              <w:end w:w="110" w:type="dxa"/>
            </w:tcMar>
            <w:vAlign w:val="center"/>
          </w:tcPr>
          <w:p>
            <w:pPr>
              <w:spacing w:after="0"/>
            </w:pPr>
            <w:r>
              <w:rPr>
                <w:rFonts w:ascii="Calibri" w:hAnsi="Calibri"/>
                <w:b/>
                <w:color w:val="FFFFFF"/>
                <w:sz w:val="19"/>
              </w:rPr>
              <w:t>Meaning</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Finding head</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 trained detector for one fault type (e.g. pump wear)</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Multi-label</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Several independent yes/no findings can be true at once</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Precision / recall</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Share of flags that were right / share of real faults that were caught</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Macro-F1</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F1 averaged equally across the four heads</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IAE</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Integral of absolute error — total control tracking error</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Interlock latency</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How quickly a hard safety rule fired</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Availability</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Fraction of time fast control stayed up</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HIL</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Hardware-/simulation-in-the-loop testing</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Deterministic</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Same input and command always produce the same output</w:t>
            </w:r>
          </w:p>
        </w:tc>
      </w:tr>
    </w:tbl>
    <w:p>
      <w:pPr>
        <w:spacing w:after="0" w:before="0"/>
      </w:pPr>
      <w:r>
        <w:rPr>
          <w:sz w:val="12"/>
        </w:rPr>
      </w:r>
    </w:p>
    <w:p>
      <w:pPr>
        <w:spacing w:after="0" w:before="0"/>
      </w:pPr>
      <w:r>
        <w:rPr>
          <w:sz w:val="16"/>
        </w:rPr>
      </w:r>
    </w:p>
    <w:p>
      <w:pPr>
        <w:spacing w:after="120"/>
      </w:pPr>
      <w:r>
        <w:rPr>
          <w:rFonts w:ascii="Calibri" w:hAnsi="Calibri"/>
          <w:i/>
          <w:color w:val="0E7C86"/>
          <w:sz w:val="21"/>
        </w:rPr>
        <w:t>Jneopallium Industrial Loop Guardian · Complete Test Report. Results are pipeline evidence on a deterministic reference skid corpus — simulation/HIL, not a certified controller or a real-world accuracy claim. Safety mode: ADVISORY. License: BSD 3-Clause.</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Industrial Loop Guardian · Supervisory above PLC/PID/SIS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