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102A54"/>
            <w:tcMar>
              <w:top w:w="260" w:type="dxa"/>
              <w:bottom w:w="260" w:type="dxa"/>
              <w:start w:w="240" w:type="dxa"/>
              <w:end w:w="2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8FC2F0"/>
                <w:sz w:val="22"/>
              </w:rPr>
              <w:t>JNEOPALLIUM · INDUSTRIAL LOOP GUARDIAN</w:t>
            </w:r>
          </w:p>
          <w:p>
            <w:pPr>
              <w:spacing w:after="40"/>
            </w:pPr>
            <w:r>
              <w:rPr>
                <w:rFonts w:ascii="Calibri" w:hAnsi="Calibri"/>
                <w:color w:val="B9C6DA"/>
                <w:sz w:val="18"/>
              </w:rPr>
              <w:t>ПОСІБНИК З НАВЧАННЯ</w:t>
            </w:r>
          </w:p>
        </w:tc>
      </w:tr>
    </w:tbl>
    <w:p>
      <w:pPr>
        <w:spacing w:after="0" w:before="0"/>
      </w:pPr>
      <w:r>
        <w:rPr>
          <w:sz w:val="40"/>
        </w:rPr>
      </w:r>
    </w:p>
    <w:p>
      <w:pPr>
        <w:spacing w:after="80"/>
      </w:pPr>
      <w:r>
        <w:rPr>
          <w:rFonts w:ascii="Calibri" w:hAnsi="Calibri"/>
          <w:b/>
          <w:color w:val="102A54"/>
          <w:sz w:val="60"/>
        </w:rPr>
        <w:t>Посібник з навчання</w:t>
      </w:r>
    </w:p>
    <w:p>
      <w:pPr>
        <w:spacing w:after="200"/>
      </w:pPr>
      <w:r>
        <w:rPr>
          <w:rFonts w:ascii="Calibri" w:hAnsi="Calibri"/>
          <w:color w:val="1C5D99"/>
          <w:sz w:val="28"/>
        </w:rPr>
        <w:t>Демо FMI-скіда — зберіть, запустіть, навчіть і отримайте готову наглядову мережу</w:t>
      </w:r>
    </w:p>
    <w:p>
      <w:pPr>
        <w:pBdr>
          <w:bottom w:val="single" w:sz="10" w:space="4" w:color="0E7C86"/>
        </w:pBdr>
      </w:pP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555F70"/>
          <w:sz w:val="23"/>
        </w:rPr>
        <w:t>Повний покроковий маршрут для копіювання навчальної половини конвеєра: встановіть інструментарій, зберіть платформу, запустіть сценарії скіда, навчіть чотири діагностичні голови й отримайте готову до розгортання наглядову мережу, яку споживає Посібник з розгортання.</w:t>
      </w:r>
    </w:p>
    <w:p>
      <w:pPr>
        <w:spacing w:after="0" w:before="0"/>
      </w:pPr>
      <w:r>
        <w:rPr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86"/>
        <w:gridCol w:w="4586"/>
      </w:tblGrid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Документ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Посібник з навчання моделі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Продукт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Jneopallium Industrial Loop Guardian (демо FMI-скіда)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Модель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industrial-loop-guardian 1.0.0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Тренер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scripts/demo-industrial-fmi/train_loop_guardian_model.py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Вихід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Готова до розгортання конфігурація JNeopallium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Автор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Дмитро Раковський — Харків, Україна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Дата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23 червня 2026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Ліцензія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BSD 3-Clause</w:t>
            </w:r>
          </w:p>
        </w:tc>
      </w:tr>
    </w:tbl>
    <w:p>
      <w:r>
        <w:br w:type="page"/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102A54"/>
          <w:sz w:val="34"/>
        </w:rPr>
        <w:t>Зміст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1.  </w:t>
      </w:r>
      <w:r>
        <w:rPr>
          <w:rFonts w:ascii="Calibri" w:hAnsi="Calibri"/>
          <w:color w:val="141B2E"/>
          <w:sz w:val="21"/>
        </w:rPr>
        <w:t>Чого ви досягнете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2.  </w:t>
      </w:r>
      <w:r>
        <w:rPr>
          <w:rFonts w:ascii="Calibri" w:hAnsi="Calibri"/>
          <w:color w:val="141B2E"/>
          <w:sz w:val="21"/>
        </w:rPr>
        <w:t>Де закінчується навчання і починається розгортання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3.  </w:t>
      </w:r>
      <w:r>
        <w:rPr>
          <w:rFonts w:ascii="Calibri" w:hAnsi="Calibri"/>
          <w:color w:val="141B2E"/>
          <w:sz w:val="21"/>
        </w:rPr>
        <w:t>Передумови та системні вимоги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4.  </w:t>
      </w:r>
      <w:r>
        <w:rPr>
          <w:rFonts w:ascii="Calibri" w:hAnsi="Calibri"/>
          <w:color w:val="141B2E"/>
          <w:sz w:val="21"/>
        </w:rPr>
        <w:t>Крок 1 — Отримати код і зібрати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5.  </w:t>
      </w:r>
      <w:r>
        <w:rPr>
          <w:rFonts w:ascii="Calibri" w:hAnsi="Calibri"/>
          <w:color w:val="141B2E"/>
          <w:sz w:val="21"/>
        </w:rPr>
        <w:t>Крок 2 — Запустити сценарії FMI-скіда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6.  </w:t>
      </w:r>
      <w:r>
        <w:rPr>
          <w:rFonts w:ascii="Calibri" w:hAnsi="Calibri"/>
          <w:color w:val="141B2E"/>
          <w:sz w:val="21"/>
        </w:rPr>
        <w:t>Крок 3 — Зрозуміти згенеровані результати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7.  </w:t>
      </w:r>
      <w:r>
        <w:rPr>
          <w:rFonts w:ascii="Calibri" w:hAnsi="Calibri"/>
          <w:color w:val="141B2E"/>
          <w:sz w:val="21"/>
        </w:rPr>
        <w:t>Крок 4 — Навчити модель Loop Guardian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8.  </w:t>
      </w:r>
      <w:r>
        <w:rPr>
          <w:rFonts w:ascii="Calibri" w:hAnsi="Calibri"/>
          <w:color w:val="141B2E"/>
          <w:sz w:val="21"/>
        </w:rPr>
        <w:t>Крок 5 — Швидка перевірка моделі на Python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9.  </w:t>
      </w:r>
      <w:r>
        <w:rPr>
          <w:rFonts w:ascii="Calibri" w:hAnsi="Calibri"/>
          <w:color w:val="141B2E"/>
          <w:sz w:val="21"/>
        </w:rPr>
        <w:t>Крок 6 — Згенерувати звіти про навчання та запуски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10.  </w:t>
      </w:r>
      <w:r>
        <w:rPr>
          <w:rFonts w:ascii="Calibri" w:hAnsi="Calibri"/>
          <w:color w:val="141B2E"/>
          <w:sz w:val="21"/>
        </w:rPr>
        <w:t>Крок 7 — Згенеровані артефакти: готова до розгортання мережа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11.  </w:t>
      </w:r>
      <w:r>
        <w:rPr>
          <w:rFonts w:ascii="Calibri" w:hAnsi="Calibri"/>
          <w:color w:val="141B2E"/>
          <w:sz w:val="21"/>
        </w:rPr>
        <w:t>Крок 8 — Перевірити запуск за контрольними критеріями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12.  </w:t>
      </w:r>
      <w:r>
        <w:rPr>
          <w:rFonts w:ascii="Calibri" w:hAnsi="Calibri"/>
          <w:color w:val="141B2E"/>
          <w:sz w:val="21"/>
        </w:rPr>
        <w:t>Усунення несправностей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13.  </w:t>
      </w:r>
      <w:r>
        <w:rPr>
          <w:rFonts w:ascii="Calibri" w:hAnsi="Calibri"/>
          <w:color w:val="141B2E"/>
          <w:sz w:val="21"/>
        </w:rPr>
        <w:t>Додаток — шпаргалка навчання</w:t>
      </w:r>
    </w:p>
    <w:p>
      <w:r>
        <w:br w:type="page"/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  </w:t>
      </w:r>
      <w:r>
        <w:rPr>
          <w:rFonts w:ascii="Calibri" w:hAnsi="Calibri"/>
          <w:b/>
          <w:color w:val="102A54"/>
          <w:sz w:val="34"/>
        </w:rPr>
        <w:t>Чого ви досягнете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До кінця цього посібника ви матимете: зібрану платформу Jneopallium; детерміновані запуски FMI-скіда за дев'ятьма сценаріями; свіжонавчену модель обслуговування й енергії </w:t>
      </w:r>
      <w:r>
        <w:rPr>
          <w:rFonts w:ascii="Calibri" w:hAnsi="Calibri"/>
          <w:b/>
          <w:i w:val="0"/>
          <w:color w:val="141B2E"/>
          <w:sz w:val="21"/>
        </w:rPr>
        <w:t>Industrial Loop Guardian</w:t>
      </w:r>
      <w:r>
        <w:rPr>
          <w:rFonts w:ascii="Calibri" w:hAnsi="Calibri"/>
          <w:i w:val="0"/>
          <w:color w:val="141B2E"/>
          <w:sz w:val="21"/>
        </w:rPr>
        <w:t xml:space="preserve">; і — ключовий результат — </w:t>
      </w:r>
      <w:r>
        <w:rPr>
          <w:rFonts w:ascii="Calibri" w:hAnsi="Calibri"/>
          <w:b/>
          <w:i w:val="0"/>
          <w:color w:val="141B2E"/>
          <w:sz w:val="21"/>
        </w:rPr>
        <w:t>повну, готову до розгортання мережу JNeopallium</w:t>
      </w:r>
      <w:r>
        <w:rPr>
          <w:rFonts w:ascii="Calibri" w:hAnsi="Calibri"/>
          <w:i w:val="0"/>
          <w:color w:val="141B2E"/>
          <w:sz w:val="21"/>
        </w:rPr>
        <w:t xml:space="preserve"> (п'ять файлів рівнів, справжні класи часу виконання, вбудовані навчені голови, фіксований запобіжник і готовий промисловий контекст), яку напряму завантажує супровідний </w:t>
      </w:r>
      <w:r>
        <w:rPr>
          <w:rFonts w:ascii="Calibri" w:hAnsi="Calibri"/>
          <w:b/>
          <w:i w:val="0"/>
          <w:color w:val="141B2E"/>
          <w:sz w:val="21"/>
        </w:rPr>
        <w:t>Посібник з розгортання</w:t>
      </w:r>
      <w:r>
        <w:rPr>
          <w:rFonts w:ascii="Calibri" w:hAnsi="Calibri"/>
          <w:i w:val="0"/>
          <w:color w:val="141B2E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BF1E0"/>
          <w:left w:val="single" w:sz="4" w:space="0" w:color="FBF1E0"/>
          <w:bottom w:val="single" w:sz="4" w:space="0" w:color="FBF1E0"/>
          <w:right w:val="single" w:sz="4" w:space="0" w:color="FBF1E0"/>
          <w:insideH w:val="single" w:sz="4" w:space="0" w:color="FBF1E0"/>
          <w:insideV w:val="single" w:sz="4" w:space="0" w:color="FBF1E0"/>
        </w:tblBorders>
      </w:tblPr>
      <w:tblGrid>
        <w:gridCol w:w="9173"/>
      </w:tblGrid>
      <w:tr>
        <w:tc>
          <w:tcPr>
            <w:tcW w:type="dxa" w:w="9173"/>
            <w:shd w:val="clear" w:color="auto" w:fill="FBF1E0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C88A1A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C88A1A"/>
                <w:sz w:val="21"/>
              </w:rPr>
              <w:t>Стеля безпеки для всього конвеєра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Усе, що робить навчена модель, є наглядовим і ADVISORY. Керування PLC/PID/SIS лишається детермінованим і авторитетним; тренер це кодує — рівень відповіді ADVISORY, жорсткі запобіжники — фіксована конфігурація, а записи виконавчих механізмів OPC UA лишаються окремими.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2  </w:t>
      </w:r>
      <w:r>
        <w:rPr>
          <w:rFonts w:ascii="Calibri" w:hAnsi="Calibri"/>
          <w:b/>
          <w:color w:val="102A54"/>
          <w:sz w:val="34"/>
        </w:rPr>
        <w:t>Де закінчується навчання і починається розгортання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2880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Фаза</w:t>
            </w:r>
          </w:p>
        </w:tc>
        <w:tc>
          <w:tcPr>
            <w:tcW w:type="dxa" w:w="4608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Що відбувається</w:t>
            </w:r>
          </w:p>
        </w:tc>
        <w:tc>
          <w:tcPr>
            <w:tcW w:type="dxa" w:w="2304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Документ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Навчання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(цей посібник)</w:t>
            </w:r>
          </w:p>
        </w:tc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Зборка, запуск сценаріїв, навчання, </w:t>
            </w: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видача мережі</w:t>
            </w:r>
          </w:p>
        </w:tc>
        <w:tc>
          <w:tcPr>
            <w:tcW w:type="dxa" w:w="230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Посібник з навчання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Розгортання</w:t>
            </w:r>
          </w:p>
        </w:tc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Завантаження виданої мережі, налаштування джерел подій, запуск worker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Посібник з розгортання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Передача — це єдина тека згенерованих артефактів (Крок 7). Навчання її </w:t>
      </w:r>
      <w:r>
        <w:rPr>
          <w:rFonts w:ascii="Calibri" w:hAnsi="Calibri"/>
          <w:b/>
          <w:i w:val="0"/>
          <w:color w:val="141B2E"/>
          <w:sz w:val="21"/>
        </w:rPr>
        <w:t>створює</w:t>
      </w:r>
      <w:r>
        <w:rPr>
          <w:rFonts w:ascii="Calibri" w:hAnsi="Calibri"/>
          <w:i w:val="0"/>
          <w:color w:val="141B2E"/>
          <w:sz w:val="21"/>
        </w:rPr>
        <w:t xml:space="preserve">; розгортання її </w:t>
      </w:r>
      <w:r>
        <w:rPr>
          <w:rFonts w:ascii="Calibri" w:hAnsi="Calibri"/>
          <w:b/>
          <w:i w:val="0"/>
          <w:color w:val="141B2E"/>
          <w:sz w:val="21"/>
        </w:rPr>
        <w:t>споживає</w:t>
      </w:r>
      <w:r>
        <w:rPr>
          <w:rFonts w:ascii="Calibri" w:hAnsi="Calibri"/>
          <w:i w:val="0"/>
          <w:color w:val="141B2E"/>
          <w:sz w:val="21"/>
        </w:rPr>
        <w:t>. Тренер записує готову для JNeopallium конфігурацію рівнів і нейронів *і* файл промислового контексту, тож ті самі файли, що фіксують навчання, є файлами, з яких завантажується worker.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3  </w:t>
      </w:r>
      <w:r>
        <w:rPr>
          <w:rFonts w:ascii="Calibri" w:hAnsi="Calibri"/>
          <w:b/>
          <w:color w:val="102A54"/>
          <w:sz w:val="34"/>
        </w:rPr>
        <w:t>Передумови та системні вимоги</w:t>
      </w:r>
    </w:p>
    <w:p>
      <w:pPr>
        <w:keepNext/>
        <w:spacing w:before="240" w:after="40"/>
      </w:pPr>
      <w:r>
        <w:rPr>
          <w:rFonts w:ascii="Calibri" w:hAnsi="Calibri"/>
          <w:b/>
          <w:color w:val="1C5D99"/>
          <w:sz w:val="26"/>
        </w:rPr>
        <w:t>Інструментарій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3456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Інструмент</w:t>
            </w:r>
          </w:p>
        </w:tc>
        <w:tc>
          <w:tcPr>
            <w:tcW w:type="dxa" w:w="2448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Версія</w:t>
            </w:r>
          </w:p>
        </w:tc>
        <w:tc>
          <w:tcPr>
            <w:tcW w:type="dxa" w:w="4176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Навіщо</w:t>
            </w:r>
          </w:p>
        </w:tc>
      </w:tr>
      <w:tr>
        <w:tc>
          <w:tcPr>
            <w:tcW w:type="dxa" w:w="345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Java JDK</w:t>
            </w:r>
          </w:p>
        </w:tc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17 або новіша (LTS)</w:t>
            </w:r>
          </w:p>
        </w:tc>
        <w:tc>
          <w:tcPr>
            <w:tcW w:type="dxa" w:w="417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Зборка й запуск worker / контролера</w:t>
            </w:r>
          </w:p>
        </w:tc>
      </w:tr>
      <w:tr>
        <w:tc>
          <w:tcPr>
            <w:tcW w:type="dxa" w:w="345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Apache Maven</w:t>
            </w:r>
          </w:p>
        </w:tc>
        <w:tc>
          <w:tcPr>
            <w:tcW w:type="dxa" w:w="24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3.9 або новіша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Багатомодульна збірка master + worker</w:t>
            </w:r>
          </w:p>
        </w:tc>
      </w:tr>
      <w:tr>
        <w:tc>
          <w:tcPr>
            <w:tcW w:type="dxa" w:w="345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Python</w:t>
            </w:r>
          </w:p>
        </w:tc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3.10+ (тестовано 3.13)</w:t>
            </w:r>
          </w:p>
        </w:tc>
        <w:tc>
          <w:tcPr>
            <w:tcW w:type="dxa" w:w="417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Запускає тренер, раннер демо й генератор звітів</w:t>
            </w:r>
          </w:p>
        </w:tc>
      </w:tr>
      <w:tr>
        <w:tc>
          <w:tcPr>
            <w:tcW w:type="dxa" w:w="345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Git</w:t>
            </w:r>
          </w:p>
        </w:tc>
        <w:tc>
          <w:tcPr>
            <w:tcW w:type="dxa" w:w="24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будь-яка свіжа</w:t>
            </w:r>
          </w:p>
        </w:tc>
        <w:tc>
          <w:tcPr>
            <w:tcW w:type="dxa" w:w="417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Клонування репозиторію</w:t>
            </w:r>
          </w:p>
        </w:tc>
      </w:tr>
      <w:tr>
        <w:tc>
          <w:tcPr>
            <w:tcW w:type="dxa" w:w="345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Docker + Mosquitto (опційно)</w:t>
            </w:r>
          </w:p>
        </w:tc>
        <w:tc>
          <w:tcPr>
            <w:tcW w:type="dxa" w:w="24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будь-яка свіжа</w:t>
            </w:r>
          </w:p>
        </w:tc>
        <w:tc>
          <w:tcPr>
            <w:tcW w:type="dxa" w:w="417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Лише для повного шляху OPC UA + MQTT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Типовий раннер «однієї команди» дає детерміновані докази </w:t>
      </w:r>
      <w:r>
        <w:rPr>
          <w:rFonts w:ascii="Calibri" w:hAnsi="Calibri"/>
          <w:b/>
          <w:i w:val="0"/>
          <w:color w:val="141B2E"/>
          <w:sz w:val="21"/>
        </w:rPr>
        <w:t>без</w:t>
      </w:r>
      <w:r>
        <w:rPr>
          <w:rFonts w:ascii="Calibri" w:hAnsi="Calibri"/>
          <w:i w:val="0"/>
          <w:color w:val="141B2E"/>
          <w:sz w:val="21"/>
        </w:rPr>
        <w:t xml:space="preserve"> Docker, брокера чи сервера OPC UA. Повний протокольний шлях (шлюз + </w:t>
      </w:r>
      <w:r>
        <w:rPr>
          <w:rFonts w:ascii="Consolas" w:hAnsi="Consolas"/>
          <w:color w:val="102A54"/>
          <w:sz w:val="20"/>
        </w:rPr>
        <w:t>IndustrialFmiDemoMain</w:t>
      </w:r>
      <w:r>
        <w:rPr>
          <w:rFonts w:ascii="Calibri" w:hAnsi="Calibri"/>
          <w:i w:val="0"/>
          <w:color w:val="141B2E"/>
          <w:sz w:val="21"/>
        </w:rPr>
        <w:t>) додатково потребує Maven, Mosquitto/Docker, залежностей Python-шлюзу та зібраного FMU.</w:t>
      </w:r>
    </w:p>
    <w:p>
      <w:pPr>
        <w:keepNext/>
        <w:spacing w:before="240" w:after="40"/>
      </w:pPr>
      <w:r>
        <w:rPr>
          <w:rFonts w:ascii="Calibri" w:hAnsi="Calibri"/>
          <w:b/>
          <w:color w:val="1C5D99"/>
          <w:sz w:val="26"/>
        </w:rPr>
        <w:t>Перевірте інструментарій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java -version       # очікуємо 17 або новіше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mvn -version        # очікуємо 3.9 або новіше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python --version    # очікуємо 3.10 або новіше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4  </w:t>
      </w:r>
      <w:r>
        <w:rPr>
          <w:rFonts w:ascii="Calibri" w:hAnsi="Calibri"/>
          <w:b/>
          <w:color w:val="102A54"/>
          <w:sz w:val="34"/>
        </w:rPr>
        <w:t>Крок 1 — Отримати код і зібрати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git clone https://github.com/rakovpublic/jneopallium.git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cd jneopallium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mvn clean install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Збірка встановлює </w:t>
      </w:r>
      <w:r>
        <w:rPr>
          <w:rFonts w:ascii="Consolas" w:hAnsi="Consolas"/>
          <w:color w:val="102A54"/>
          <w:sz w:val="20"/>
        </w:rPr>
        <w:t>com.rakovpublic.jneopallium:worker:1.0</w:t>
      </w:r>
      <w:r>
        <w:rPr>
          <w:rFonts w:ascii="Calibri" w:hAnsi="Calibri"/>
          <w:i w:val="0"/>
          <w:color w:val="141B2E"/>
          <w:sz w:val="21"/>
        </w:rPr>
        <w:t>. Worker уже містить справжні класи промислових нейронів, процесорів і сигналів, на які посилається навчена мережа (</w:t>
      </w:r>
      <w:r>
        <w:rPr>
          <w:rFonts w:ascii="Consolas" w:hAnsi="Consolas"/>
          <w:color w:val="102A54"/>
          <w:sz w:val="20"/>
        </w:rPr>
        <w:t>com.rakovpublic.jneuropallium.worker.net.neuron.impl.industrial.*</w:t>
      </w:r>
      <w:r>
        <w:rPr>
          <w:rFonts w:ascii="Calibri" w:hAnsi="Calibri"/>
          <w:i w:val="0"/>
          <w:color w:val="141B2E"/>
          <w:sz w:val="21"/>
        </w:rPr>
        <w:t xml:space="preserve"> та інші), тож для навчання не потрібні додаткові написані вручну класи.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5  </w:t>
      </w:r>
      <w:r>
        <w:rPr>
          <w:rFonts w:ascii="Calibri" w:hAnsi="Calibri"/>
          <w:b/>
          <w:color w:val="102A54"/>
          <w:sz w:val="34"/>
        </w:rPr>
        <w:t>Крок 2 — Запустити сценарії FMI-скіда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Детермінований раннер просуває змодельований скід і записує докази для кожного сценарію. Запустіть усі дев'ять або по одному:</w:t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Linux / macOS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scripts/demo-industrial-fmi/run_demo.sh all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scripts/demo-industrial-fmi/run_demo.sh pump-wear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scripts/demo-industrial-fmi/run_demo.sh high-temperature-interlock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Windows (PowerShell)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powershell -ExecutionPolicy Bypass -File scripts/demo-industrial-fmi/run_demo.ps1 all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Дев'ять сценаріїв: </w:t>
      </w:r>
      <w:r>
        <w:rPr>
          <w:rFonts w:ascii="Consolas" w:hAnsi="Consolas"/>
          <w:color w:val="102A54"/>
          <w:sz w:val="20"/>
        </w:rPr>
        <w:t>normal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load-disturbance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oscillation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pump-wear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temperature-sensor-drift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mqtt-outage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opcua-outage</w:t>
      </w:r>
      <w:r>
        <w:rPr>
          <w:rFonts w:ascii="Calibri" w:hAnsi="Calibri"/>
          <w:i w:val="0"/>
          <w:color w:val="141B2E"/>
          <w:sz w:val="21"/>
        </w:rPr>
        <w:t xml:space="preserve">, </w:t>
      </w:r>
      <w:r>
        <w:rPr>
          <w:rFonts w:ascii="Consolas" w:hAnsi="Consolas"/>
          <w:color w:val="102A54"/>
          <w:sz w:val="20"/>
        </w:rPr>
        <w:t>high-temperature-interlock</w:t>
      </w:r>
      <w:r>
        <w:rPr>
          <w:rFonts w:ascii="Calibri" w:hAnsi="Calibri"/>
          <w:i w:val="0"/>
          <w:color w:val="141B2E"/>
          <w:sz w:val="21"/>
        </w:rPr>
        <w:t xml:space="preserve"> та </w:t>
      </w:r>
      <w:r>
        <w:rPr>
          <w:rFonts w:ascii="Consolas" w:hAnsi="Consolas"/>
          <w:color w:val="102A54"/>
          <w:sz w:val="20"/>
        </w:rPr>
        <w:t>operator-override</w:t>
      </w:r>
      <w:r>
        <w:rPr>
          <w:rFonts w:ascii="Calibri" w:hAnsi="Calibri"/>
          <w:i w:val="0"/>
          <w:color w:val="141B2E"/>
          <w:sz w:val="21"/>
        </w:rPr>
        <w:t>. Кожен вправляє іншу частину наглядової та безпекової поведінки.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6  </w:t>
      </w:r>
      <w:r>
        <w:rPr>
          <w:rFonts w:ascii="Calibri" w:hAnsi="Calibri"/>
          <w:b/>
          <w:color w:val="102A54"/>
          <w:sz w:val="34"/>
        </w:rPr>
        <w:t>Крок 3 — Зрозуміти згенеровані результати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Кожен запуск записує теку для сценарію під </w:t>
      </w:r>
      <w:r>
        <w:rPr>
          <w:rFonts w:ascii="Consolas" w:hAnsi="Consolas"/>
          <w:color w:val="102A54"/>
          <w:sz w:val="20"/>
        </w:rPr>
        <w:t>target/</w:t>
      </w:r>
      <w:r>
        <w:rPr>
          <w:rFonts w:ascii="Calibri" w:hAnsi="Calibri"/>
          <w:i w:val="0"/>
          <w:color w:val="141B2E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target/jneopallium-industrial-fmi/&lt;scenario&gt;/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manifest.json            process_trace.csv        controller_results.jsonl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advisory_findings.jsonl  model_advisory_findings.jsonl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heuristic_advisory_findings.jsonl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opcua_audit.jsonl        mqtt_audit.jsonl         alarms.jsonl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interventions.jsonl      metrics.json             comparison.json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320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Файл</w:t>
            </w:r>
          </w:p>
        </w:tc>
        <w:tc>
          <w:tcPr>
            <w:tcW w:type="dxa" w:w="5472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Що містить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metrics.json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KPI сценарію: IAE, перерегулювання, час усталення, енергія, затримка інтерлока, доступність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comparison.json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Порівняння базової лінії та Jneopallium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model_advisory_findings.jsonl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Рекомендації від навченої моделі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advisory_findings.jsonl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Рекомендації з нейроном-власником, економічним базисом, межею безпеки, межею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opcua_audit.jsonl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/ </w:t>
            </w:r>
            <w:r>
              <w:rPr>
                <w:rFonts w:ascii="Consolas" w:hAnsi="Consolas"/>
                <w:color w:val="102A54"/>
                <w:sz w:val="18"/>
              </w:rPr>
              <w:t>mqtt_audit.jsonl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Кожна подія команди/телеметрії, для межі протоколів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7  </w:t>
      </w:r>
      <w:r>
        <w:rPr>
          <w:rFonts w:ascii="Calibri" w:hAnsi="Calibri"/>
          <w:b/>
          <w:color w:val="102A54"/>
          <w:sz w:val="34"/>
        </w:rPr>
        <w:t>Крок 4 — Навчити модель Loop Guardian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Тренер не потребує сторонніх пакетів Python. Навчіть і експортуйте модель обслуговування й енергії командою еталона промислового масштабу: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python scripts/demo-industrial-fmi/train_loop_guardian_model.py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--reference-multiplier 1000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--target-corpus-bytes 100gb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--max-corpus-bytes 100gb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Він записує повний набір артефактів у </w:t>
      </w:r>
      <w:r>
        <w:rPr>
          <w:rFonts w:ascii="Consolas" w:hAnsi="Consolas"/>
          <w:color w:val="102A54"/>
          <w:sz w:val="20"/>
        </w:rPr>
        <w:t>worker/src/main/resources/model/industrial-loop-guardian/</w:t>
      </w:r>
      <w:r>
        <w:rPr>
          <w:rFonts w:ascii="Calibri" w:hAnsi="Calibri"/>
          <w:i w:val="0"/>
          <w:color w:val="141B2E"/>
          <w:sz w:val="21"/>
        </w:rPr>
        <w:t xml:space="preserve"> (див. Крок 7). Тренер припасовує чотири діагностичні голови над 39 інженерними ознаками, оцінює їх на розбитті без витоку й друкує зведення з точністю/повнотою/F1 для кожного висновку.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Що означають прапорці</w:t>
            </w:r>
          </w:p>
          <w:p>
            <w:pPr>
              <w:spacing w:after="0"/>
            </w:pPr>
            <w:r>
              <w:rPr>
                <w:rFonts w:ascii="Consolas" w:hAnsi="Consolas"/>
                <w:color w:val="102A54"/>
                <w:sz w:val="19"/>
              </w:rPr>
              <w:t>--reference-multiplier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 детерміновано розширює вбудований корпус скіда. </w:t>
            </w:r>
            <w:r>
              <w:rPr>
                <w:rFonts w:ascii="Consolas" w:hAnsi="Consolas"/>
                <w:color w:val="102A54"/>
                <w:sz w:val="19"/>
              </w:rPr>
              <w:t>--target-corpus-bytes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 фіксує логічну ціль промислового масштабу (100 ГіБ), досягнуту реплікацією. </w:t>
            </w:r>
            <w:r>
              <w:rPr>
                <w:rFonts w:ascii="Consolas" w:hAnsi="Consolas"/>
                <w:color w:val="102A54"/>
                <w:sz w:val="19"/>
              </w:rPr>
              <w:t>--max-corpus-bytes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 — жорсткий запобіжник, що переривається, замість роздувати репозиторій — припасована вибірка лишається кілька десятків МіБ, тож запуск завершується на робочій станції.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240" w:after="40"/>
      </w:pPr>
      <w:r>
        <w:rPr>
          <w:rFonts w:ascii="Calibri" w:hAnsi="Calibri"/>
          <w:b/>
          <w:color w:val="1C5D99"/>
          <w:sz w:val="26"/>
        </w:rPr>
        <w:t>Підсистема моніторингу стану машини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Поряд із чотирма головами обслуговування й енергії оновлена модель містить мультимодальну підсистему </w:t>
      </w:r>
      <w:r>
        <w:rPr>
          <w:rFonts w:ascii="Calibri" w:hAnsi="Calibri"/>
          <w:b/>
          <w:i w:val="0"/>
          <w:color w:val="141B2E"/>
          <w:sz w:val="21"/>
        </w:rPr>
        <w:t>здоров'я машини</w:t>
      </w:r>
      <w:r>
        <w:rPr>
          <w:rFonts w:ascii="Calibri" w:hAnsi="Calibri"/>
          <w:i w:val="0"/>
          <w:color w:val="141B2E"/>
          <w:sz w:val="21"/>
        </w:rPr>
        <w:t xml:space="preserve"> (акустика + вібрація), реалізовану як рівень часу виконання Java. Її екстрактори ознак, нормалізація робочого режиму, оцінка базової лінії / зсуву домену, гіпотези несправностей і запобіжник рекомендацій призначені для навчання й валідації на публічних наборах моніторингу стану: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3744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Набір даних</w:t>
            </w:r>
          </w:p>
        </w:tc>
        <w:tc>
          <w:tcPr>
            <w:tcW w:type="dxa" w:w="6048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Роль</w:t>
            </w:r>
          </w:p>
        </w:tc>
      </w:tr>
      <w:tr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MIMII</w:t>
            </w:r>
          </w:p>
        </w:tc>
        <w:tc>
          <w:tcPr>
            <w:tcW w:type="dxa" w:w="60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Звук промислових машин у нормальному й несправному станах</w:t>
            </w:r>
          </w:p>
        </w:tc>
      </w:tr>
      <w:tr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DCASE machine-condition</w:t>
            </w:r>
          </w:p>
        </w:tc>
        <w:tc>
          <w:tcPr>
            <w:tcW w:type="dxa" w:w="60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Бенчмарк виявлення акустичних аномалій</w:t>
            </w:r>
          </w:p>
        </w:tc>
      </w:tr>
      <w:tr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MIMII DUE / DG</w:t>
            </w:r>
          </w:p>
        </w:tc>
        <w:tc>
          <w:tcPr>
            <w:tcW w:type="dxa" w:w="60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Варіанти зсуву домену / узагальнення домену</w:t>
            </w:r>
          </w:p>
        </w:tc>
      </w:tr>
      <w:tr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Paderborn Bearing Data Center</w:t>
            </w:r>
          </w:p>
        </w:tc>
        <w:tc>
          <w:tcPr>
            <w:tcW w:type="dxa" w:w="60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Розмічені вібраційні дані несправностей підшипників</w:t>
            </w:r>
          </w:p>
        </w:tc>
      </w:tr>
      <w:tr>
        <w:tc>
          <w:tcPr>
            <w:tcW w:type="dxa" w:w="374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Симулятор насоса FMI</w:t>
            </w:r>
          </w:p>
        </w:tc>
        <w:tc>
          <w:tcPr>
            <w:tcW w:type="dxa" w:w="604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Вбудовані детерміновані сигнали скіда для відтворюваних доказів</w:t>
            </w:r>
          </w:p>
        </w:tc>
      </w:tr>
      <w:tr>
        <w:tc>
          <w:tcPr>
            <w:tcW w:type="dxa" w:w="374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Авторизована телеметрія майданчика</w:t>
            </w:r>
          </w:p>
        </w:tc>
        <w:tc>
          <w:tcPr>
            <w:tcW w:type="dxa" w:w="604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Ваші власні машини після перегляду обробки даних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Підсистема </w:t>
      </w:r>
      <w:r>
        <w:rPr>
          <w:rFonts w:ascii="Calibri" w:hAnsi="Calibri"/>
          <w:b/>
          <w:i w:val="0"/>
          <w:color w:val="141B2E"/>
          <w:sz w:val="21"/>
        </w:rPr>
        <w:t>лише для читання / тінь / рекомендації</w:t>
      </w:r>
      <w:r>
        <w:rPr>
          <w:rFonts w:ascii="Calibri" w:hAnsi="Calibri"/>
          <w:i w:val="0"/>
          <w:color w:val="141B2E"/>
          <w:sz w:val="21"/>
        </w:rPr>
        <w:t xml:space="preserve"> за побудовою: вона видає </w:t>
      </w:r>
      <w:r>
        <w:rPr>
          <w:rFonts w:ascii="Consolas" w:hAnsi="Consolas"/>
          <w:color w:val="102A54"/>
          <w:sz w:val="20"/>
        </w:rPr>
        <w:t>MachineHealthAdvisorySignal</w:t>
      </w:r>
      <w:r>
        <w:rPr>
          <w:rFonts w:ascii="Calibri" w:hAnsi="Calibri"/>
          <w:i w:val="0"/>
          <w:color w:val="141B2E"/>
          <w:sz w:val="21"/>
        </w:rPr>
        <w:t xml:space="preserve"> (бал здоров'я, ймовірності несправностей, невідома аномалія, зсув домену, невпевненість) і ніколи не записує команду виконавчого механізму. Виходи зсуву домену й невпевненості дають їй казати «я не впевнений» на незнайомій машині, а не перебільшувати — саме цього вимагає реальна валідація моніторингу стану перед будь-якою промисловою опорою.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8  </w:t>
      </w:r>
      <w:r>
        <w:rPr>
          <w:rFonts w:ascii="Calibri" w:hAnsi="Calibri"/>
          <w:b/>
          <w:color w:val="102A54"/>
          <w:sz w:val="34"/>
        </w:rPr>
        <w:t>Крок 5 — Швидка перевірка моделі на Python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Для швидкої перевірки логіки моделі без збірки запустіть модульні тести Python: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python -m unittest discover -s scripts/demo-industrial-fmi/tests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Вони проганяють тренер і модель loop-guardian наскрізно без Maven, брокера чи зібраного FMU — ідеально для швидкого зворотного зв'язку під час ітерацій над ознаками чи корпусом.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9  </w:t>
      </w:r>
      <w:r>
        <w:rPr>
          <w:rFonts w:ascii="Calibri" w:hAnsi="Calibri"/>
          <w:b/>
          <w:color w:val="102A54"/>
          <w:sz w:val="34"/>
        </w:rPr>
        <w:t>Крок 6 — Згенерувати звіти про навчання та запуски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Після навчання й відтворення згенеруйте зведені звіти: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python scripts/demo-industrial-fmi/generate_run_reports.py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Це збирає метрики кожного сценарію та докази навченої моделі у відтворювані звіти, які можна додати до пілотної оцінки.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10  </w:t>
      </w:r>
      <w:r>
        <w:rPr>
          <w:rFonts w:ascii="Calibri" w:hAnsi="Calibri"/>
          <w:b/>
          <w:color w:val="102A54"/>
          <w:sz w:val="34"/>
        </w:rPr>
        <w:t>Крок 7 — Згенеровані артефакти: готова до розгортання мережа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Це передача конвеєра. Запуск навчання записує теку конфігурації у стилі JNeopallium, готову до розгортання як є, — власне мережу рівнів і нейронів, з якої завантажується worker, плюс готовий промисловий контекст: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752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Артефакт</w:t>
            </w:r>
          </w:p>
        </w:tc>
        <w:tc>
          <w:tcPr>
            <w:tcW w:type="dxa" w:w="5040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Що це</w:t>
            </w:r>
          </w:p>
        </w:tc>
      </w:tr>
      <w:tr>
        <w:tc>
          <w:tcPr>
            <w:tcW w:type="dxa" w:w="475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trained-industrial-loop-guardian-model.json</w:t>
            </w:r>
          </w:p>
        </w:tc>
        <w:tc>
          <w:tcPr>
            <w:tcW w:type="dxa" w:w="504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Компактна навчена модель: ознаки, чотири голови, ваги, метрики</w:t>
            </w:r>
          </w:p>
        </w:tc>
      </w:tr>
      <w:tr>
        <w:tc>
          <w:tcPr>
            <w:tcW w:type="dxa" w:w="475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model-descriptor.json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Опис усієї мережі: 5 рівнів, 17 нейронів, мапа частот, класи часу виконання</w:t>
            </w:r>
          </w:p>
        </w:tc>
      </w:tr>
      <w:tr>
        <w:tc>
          <w:tcPr>
            <w:tcW w:type="dxa" w:w="475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layer-0.json</w:t>
            </w:r>
          </w:p>
        </w:tc>
        <w:tc>
          <w:tcPr>
            <w:tcW w:type="dxa" w:w="504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Межа входу заводу + наглядового контексту</w:t>
            </w:r>
          </w:p>
        </w:tc>
      </w:tr>
      <w:tr>
        <w:tc>
          <w:tcPr>
            <w:tcW w:type="dxa" w:w="475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layer-1-fast-telemetry.json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Валідація швидкої телеметрії і стан контуру — 7 нейронів</w:t>
            </w:r>
          </w:p>
        </w:tc>
      </w:tr>
      <w:tr>
        <w:tc>
          <w:tcPr>
            <w:tcW w:type="dxa" w:w="475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layer-2-maintenance-energy.json</w:t>
            </w:r>
          </w:p>
        </w:tc>
        <w:tc>
          <w:tcPr>
            <w:tcW w:type="dxa" w:w="504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Чотири навчені діагностичні голови висновків</w:t>
            </w:r>
          </w:p>
        </w:tc>
      </w:tr>
      <w:tr>
        <w:tc>
          <w:tcPr>
            <w:tcW w:type="dxa" w:w="475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layer-3-advisory-planning.json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Економічне планування рекомендацій + фіксований запобіжник — 4 нейрони</w:t>
            </w:r>
          </w:p>
        </w:tc>
      </w:tr>
      <w:tr>
        <w:tc>
          <w:tcPr>
            <w:tcW w:type="dxa" w:w="475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result-layer.json</w:t>
            </w:r>
          </w:p>
        </w:tc>
        <w:tc>
          <w:tcPr>
            <w:tcW w:type="dxa" w:w="504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Вивід промислових рекомендацій JSONL</w:t>
            </w:r>
          </w:p>
        </w:tc>
      </w:tr>
      <w:tr>
        <w:tc>
          <w:tcPr>
            <w:tcW w:type="dxa" w:w="475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trained-model-update.json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Останній знімок навчання: статус, контрольна сума, ваги, зведення</w:t>
            </w:r>
          </w:p>
        </w:tc>
      </w:tr>
      <w:tr>
        <w:tc>
          <w:tcPr>
            <w:tcW w:type="dxa" w:w="475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quantitative-summary.json</w:t>
            </w:r>
          </w:p>
        </w:tc>
        <w:tc>
          <w:tcPr>
            <w:tcW w:type="dxa" w:w="504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Масштаб, метрики та найвагоміші ваги ознак на голову</w:t>
            </w:r>
          </w:p>
        </w:tc>
      </w:tr>
      <w:tr>
        <w:tc>
          <w:tcPr>
            <w:tcW w:type="dxa" w:w="475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source-mapping.json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На які типізовані сигнали відображається кожне джерело даних</w:t>
            </w:r>
          </w:p>
        </w:tc>
      </w:tr>
      <w:tr>
        <w:tc>
          <w:tcPr>
            <w:tcW w:type="dxa" w:w="475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production-context.json</w:t>
            </w:r>
          </w:p>
        </w:tc>
        <w:tc>
          <w:tcPr>
            <w:tcW w:type="dxa" w:w="504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Готовий контекст рекомендаційного worker для розгортання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240" w:after="40"/>
      </w:pPr>
      <w:r>
        <w:rPr>
          <w:rFonts w:ascii="Calibri" w:hAnsi="Calibri"/>
          <w:b/>
          <w:color w:val="1C5D99"/>
          <w:sz w:val="26"/>
        </w:rPr>
        <w:t>Мережа, яку будує тренер</w:t>
      </w:r>
    </w:p>
    <w:p>
      <w:pPr>
        <w:spacing w:after="120"/>
      </w:pPr>
      <w:r>
        <w:rPr>
          <w:rFonts w:ascii="Consolas" w:hAnsi="Consolas"/>
          <w:color w:val="102A54"/>
          <w:sz w:val="20"/>
        </w:rPr>
        <w:t>model-descriptor.json</w:t>
      </w:r>
      <w:r>
        <w:rPr>
          <w:rFonts w:ascii="Calibri" w:hAnsi="Calibri"/>
          <w:i w:val="0"/>
          <w:color w:val="141B2E"/>
          <w:sz w:val="21"/>
        </w:rPr>
        <w:t xml:space="preserve"> фіксує п'ятирівневу мережу з </w:t>
      </w:r>
      <w:r>
        <w:rPr>
          <w:rFonts w:ascii="Calibri" w:hAnsi="Calibri"/>
          <w:b/>
          <w:i w:val="0"/>
          <w:color w:val="141B2E"/>
          <w:sz w:val="21"/>
        </w:rPr>
        <w:t>17 справжніх нейронів</w:t>
      </w:r>
      <w:r>
        <w:rPr>
          <w:rFonts w:ascii="Calibri" w:hAnsi="Calibri"/>
          <w:i w:val="0"/>
          <w:color w:val="141B2E"/>
          <w:sz w:val="21"/>
        </w:rPr>
        <w:t xml:space="preserve">, з </w:t>
      </w:r>
      <w:r>
        <w:rPr>
          <w:rFonts w:ascii="Calibri" w:hAnsi="Calibri"/>
          <w:b/>
          <w:i w:val="0"/>
          <w:color w:val="141B2E"/>
          <w:sz w:val="21"/>
        </w:rPr>
        <w:t>156 навчуваними вагами</w:t>
      </w:r>
      <w:r>
        <w:rPr>
          <w:rFonts w:ascii="Calibri" w:hAnsi="Calibri"/>
          <w:i w:val="0"/>
          <w:color w:val="141B2E"/>
          <w:sz w:val="21"/>
        </w:rPr>
        <w:t xml:space="preserve"> та </w:t>
      </w:r>
      <w:r>
        <w:rPr>
          <w:rFonts w:ascii="Calibri" w:hAnsi="Calibri"/>
          <w:b/>
          <w:i w:val="0"/>
          <w:color w:val="141B2E"/>
          <w:sz w:val="21"/>
        </w:rPr>
        <w:t>4 зсувами</w:t>
      </w:r>
      <w:r>
        <w:rPr>
          <w:rFonts w:ascii="Calibri" w:hAnsi="Calibri"/>
          <w:i w:val="0"/>
          <w:color w:val="141B2E"/>
          <w:sz w:val="21"/>
        </w:rPr>
        <w:t>, де кожен нейрон посилається на конкретний клас із промислового пакета worker: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3168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Рівень</w:t>
            </w:r>
          </w:p>
        </w:tc>
        <w:tc>
          <w:tcPr>
            <w:tcW w:type="dxa" w:w="1152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Розмір</w:t>
            </w:r>
          </w:p>
        </w:tc>
        <w:tc>
          <w:tcPr>
            <w:tcW w:type="dxa" w:w="5328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Роль</w:t>
            </w:r>
          </w:p>
        </w:tc>
      </w:tr>
      <w:tr>
        <w:tc>
          <w:tcPr>
            <w:tcW w:type="dxa" w:w="31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 — Вхід</w:t>
            </w:r>
          </w:p>
        </w:tc>
        <w:tc>
          <w:tcPr>
            <w:tcW w:type="dxa" w:w="115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0</w:t>
            </w:r>
          </w:p>
        </w:tc>
        <w:tc>
          <w:tcPr>
            <w:tcW w:type="dxa" w:w="532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Межа заводу / OPC UA / MQTT / FMI-відтворення / Kafka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 — Швидка телеметрія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7</w:t>
            </w:r>
          </w:p>
        </w:tc>
        <w:tc>
          <w:tcPr>
            <w:tcW w:type="dxa" w:w="532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Валідація, інтерлоки, перевизначення, стан контуру</w:t>
            </w:r>
          </w:p>
        </w:tc>
      </w:tr>
      <w:tr>
        <w:tc>
          <w:tcPr>
            <w:tcW w:type="dxa" w:w="31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2 — Діагностичні голови</w:t>
            </w:r>
          </w:p>
        </w:tc>
        <w:tc>
          <w:tcPr>
            <w:tcW w:type="dxa" w:w="115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4</w:t>
            </w:r>
          </w:p>
        </w:tc>
        <w:tc>
          <w:tcPr>
            <w:tcW w:type="dxa" w:w="532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Знос насоса, коливання/заклинювання, дрейф датчика, енергія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3 — Планування рекомендацій</w:t>
            </w:r>
          </w:p>
        </w:tc>
        <w:tc>
          <w:tcPr>
            <w:tcW w:type="dxa" w:w="115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4</w:t>
            </w:r>
          </w:p>
        </w:tc>
        <w:tc>
          <w:tcPr>
            <w:tcW w:type="dxa" w:w="532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Планування обслуговування, обмежений трим, економіка, запобіжник</w:t>
            </w:r>
          </w:p>
        </w:tc>
      </w:tr>
      <w:tr>
        <w:tc>
          <w:tcPr>
            <w:tcW w:type="dxa" w:w="316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4 — Результат</w:t>
            </w:r>
          </w:p>
        </w:tc>
        <w:tc>
          <w:tcPr>
            <w:tcW w:type="dxa" w:w="115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2</w:t>
            </w:r>
          </w:p>
        </w:tc>
        <w:tc>
          <w:tcPr>
            <w:tcW w:type="dxa" w:w="532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Рекомендації з обслуговування та енергії як JSONL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Кожна діагностична голова вбудовує свої навчені ваги, дозволений їй фільтр ознак (голова коливань, наприклад, обмежена 17 із 39 ознак) та свою логічну роль і власне міркування. Опис також містить </w:t>
      </w:r>
      <w:r>
        <w:rPr>
          <w:rFonts w:ascii="Consolas" w:hAnsi="Consolas"/>
          <w:color w:val="102A54"/>
          <w:sz w:val="20"/>
        </w:rPr>
        <w:t>signalFrequencyMap</w:t>
      </w:r>
      <w:r>
        <w:rPr>
          <w:rFonts w:ascii="Calibri" w:hAnsi="Calibri"/>
          <w:i w:val="0"/>
          <w:color w:val="141B2E"/>
          <w:sz w:val="21"/>
        </w:rPr>
        <w:t>, що дає кожному сигналу його каданс — швидкі теги щоцикл, деградація/енергія/уставка кожні 10, вікна обслуговування кожні 60 — багаточасовий дизайн, втілений конкретно.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8F3EC"/>
          <w:left w:val="single" w:sz="4" w:space="0" w:color="E8F3EC"/>
          <w:bottom w:val="single" w:sz="4" w:space="0" w:color="E8F3EC"/>
          <w:right w:val="single" w:sz="4" w:space="0" w:color="E8F3EC"/>
          <w:insideH w:val="single" w:sz="4" w:space="0" w:color="E8F3EC"/>
          <w:insideV w:val="single" w:sz="4" w:space="0" w:color="E8F3EC"/>
        </w:tblBorders>
      </w:tblPr>
      <w:tblGrid>
        <w:gridCol w:w="9173"/>
      </w:tblGrid>
      <w:tr>
        <w:tc>
          <w:tcPr>
            <w:tcW w:type="dxa" w:w="9173"/>
            <w:shd w:val="clear" w:color="auto" w:fill="E8F3EC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F7A3D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7A3D"/>
                <w:sz w:val="21"/>
              </w:rPr>
              <w:t>Чому це важливо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 xml:space="preserve">Оскільки навчання видає справжню, придатну до перевірки, готову до розгортання конфігурацію, між «тим, що ми навчили» і «тим, що ми запускаємо», немає кроку перекладу. Посібник з розгортання просто спрямовує worker на цю теку й завантажує </w:t>
            </w:r>
            <w:r>
              <w:rPr>
                <w:rFonts w:ascii="Consolas" w:hAnsi="Consolas"/>
                <w:color w:val="102A54"/>
                <w:sz w:val="19"/>
              </w:rPr>
              <w:t>production-context.json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>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11  </w:t>
      </w:r>
      <w:r>
        <w:rPr>
          <w:rFonts w:ascii="Calibri" w:hAnsi="Calibri"/>
          <w:b/>
          <w:color w:val="102A54"/>
          <w:sz w:val="34"/>
        </w:rPr>
        <w:t>Крок 8 — Перевірити запуск за контрольними критеріями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1.  </w:t>
      </w:r>
      <w:r>
        <w:rPr>
          <w:rFonts w:ascii="Calibri" w:hAnsi="Calibri"/>
          <w:i w:val="0"/>
          <w:color w:val="141B2E"/>
          <w:sz w:val="21"/>
        </w:rPr>
        <w:t xml:space="preserve">Усі очікувані родини джерел присутні в </w:t>
      </w:r>
      <w:r>
        <w:rPr>
          <w:rFonts w:ascii="Consolas" w:hAnsi="Consolas"/>
          <w:color w:val="102A54"/>
          <w:sz w:val="20"/>
        </w:rPr>
        <w:t>source-mapping.json</w:t>
      </w:r>
      <w:r>
        <w:rPr>
          <w:rFonts w:ascii="Calibri" w:hAnsi="Calibri"/>
          <w:i w:val="0"/>
          <w:color w:val="141B2E"/>
          <w:sz w:val="21"/>
        </w:rPr>
        <w:t xml:space="preserve"> (FMI-відтворення, OPC UA, MQTT, тіньовий Kafka, CMMS, лічильник енергії).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2.  </w:t>
      </w:r>
      <w:r>
        <w:rPr>
          <w:rFonts w:ascii="Calibri" w:hAnsi="Calibri"/>
          <w:i w:val="0"/>
          <w:color w:val="141B2E"/>
          <w:sz w:val="21"/>
        </w:rPr>
        <w:t>F1 кожного висновку на рівні або близько 1.0, а рівень хибних спрацювань енергетичної голови в межах бюджету (еталонний запуск: macro-F1 ≈ 0.9995, macro рівень хибних ≈ 0.0005).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3.  </w:t>
      </w:r>
      <w:r>
        <w:rPr>
          <w:rFonts w:ascii="Calibri" w:hAnsi="Calibri"/>
          <w:i w:val="0"/>
          <w:color w:val="141B2E"/>
          <w:sz w:val="21"/>
        </w:rPr>
        <w:t xml:space="preserve">П'ять файлів рівнів, </w:t>
      </w:r>
      <w:r>
        <w:rPr>
          <w:rFonts w:ascii="Consolas" w:hAnsi="Consolas"/>
          <w:color w:val="102A54"/>
          <w:sz w:val="20"/>
        </w:rPr>
        <w:t>trained-model-update.json</w:t>
      </w:r>
      <w:r>
        <w:rPr>
          <w:rFonts w:ascii="Calibri" w:hAnsi="Calibri"/>
          <w:i w:val="0"/>
          <w:color w:val="141B2E"/>
          <w:sz w:val="21"/>
        </w:rPr>
        <w:t xml:space="preserve"> і </w:t>
      </w:r>
      <w:r>
        <w:rPr>
          <w:rFonts w:ascii="Consolas" w:hAnsi="Consolas"/>
          <w:color w:val="102A54"/>
          <w:sz w:val="20"/>
        </w:rPr>
        <w:t>production-context.json</w:t>
      </w:r>
      <w:r>
        <w:rPr>
          <w:rFonts w:ascii="Calibri" w:hAnsi="Calibri"/>
          <w:i w:val="0"/>
          <w:color w:val="141B2E"/>
          <w:sz w:val="21"/>
        </w:rPr>
        <w:t xml:space="preserve"> записано, і вони посилаються на очікувані класи часу виконання.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4.  </w:t>
      </w:r>
      <w:r>
        <w:rPr>
          <w:rFonts w:ascii="Calibri" w:hAnsi="Calibri"/>
          <w:i w:val="0"/>
          <w:color w:val="141B2E"/>
          <w:sz w:val="21"/>
        </w:rPr>
        <w:t>Кожен сценарій дав детерміновані траси й порівняння з базовою лінією.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5.  </w:t>
      </w:r>
      <w:r>
        <w:rPr>
          <w:rFonts w:ascii="Calibri" w:hAnsi="Calibri"/>
          <w:i w:val="0"/>
          <w:color w:val="141B2E"/>
          <w:sz w:val="21"/>
        </w:rPr>
        <w:t>Рекомендаційний JSON містить нейрон-власник, код рекомендації, економічний базис, результат межі безпеки та межу PLC/PID/SIS проти Jneopallium.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Перевірка відтворюваності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Еталонний запуск детермінований. Повторний запуск тієї самої команди має дати ту саму контрольну суму (</w:t>
            </w:r>
            <w:r>
              <w:rPr>
                <w:rFonts w:ascii="Consolas" w:hAnsi="Consolas"/>
                <w:color w:val="102A54"/>
                <w:sz w:val="19"/>
              </w:rPr>
              <w:t>trained-model-update.json</w:t>
            </w:r>
            <w:r>
              <w:rPr>
                <w:rFonts w:ascii="Calibri" w:hAnsi="Calibri"/>
                <w:i w:val="0"/>
                <w:color w:val="141B2E"/>
                <w:sz w:val="20"/>
              </w:rPr>
              <w:t>) і ті самі метрики на голову. Розбіжність — сигнал, що змінилися вхідні дані чи інструментарій.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12  </w:t>
      </w:r>
      <w:r>
        <w:rPr>
          <w:rFonts w:ascii="Calibri" w:hAnsi="Calibri"/>
          <w:b/>
          <w:color w:val="102A54"/>
          <w:sz w:val="34"/>
        </w:rPr>
        <w:t>Усунення несправностей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464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Симптом</w:t>
            </w:r>
          </w:p>
        </w:tc>
        <w:tc>
          <w:tcPr>
            <w:tcW w:type="dxa" w:w="5328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Імовірна причина й виправлення</w:t>
            </w:r>
          </w:p>
        </w:tc>
      </w:tr>
      <w:tr>
        <w:tc>
          <w:tcPr>
            <w:tcW w:type="dxa" w:w="446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java -version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показує &lt; 17</w:t>
            </w:r>
          </w:p>
        </w:tc>
        <w:tc>
          <w:tcPr>
            <w:tcW w:type="dxa" w:w="532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Встановіть JDK 17+ і вкажіть </w:t>
            </w:r>
            <w:r>
              <w:rPr>
                <w:rFonts w:ascii="Consolas" w:hAnsi="Consolas"/>
                <w:color w:val="102A54"/>
                <w:sz w:val="18"/>
              </w:rPr>
              <w:t>JAVA_HOME</w:t>
            </w:r>
          </w:p>
        </w:tc>
      </w:tr>
      <w:tr>
        <w:tc>
          <w:tcPr>
            <w:tcW w:type="dxa" w:w="446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Тренер не знаходить сценарії</w:t>
            </w:r>
          </w:p>
        </w:tc>
        <w:tc>
          <w:tcPr>
            <w:tcW w:type="dxa" w:w="532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Запускайте з кореня репозиторію; сценарії в </w:t>
            </w:r>
            <w:r>
              <w:rPr>
                <w:rFonts w:ascii="Consolas" w:hAnsi="Consolas"/>
                <w:color w:val="102A54"/>
                <w:sz w:val="18"/>
              </w:rPr>
              <w:t>scripts/demo-industrial-fmi/config/scenarios/</w:t>
            </w:r>
          </w:p>
        </w:tc>
      </w:tr>
      <w:tr>
        <w:tc>
          <w:tcPr>
            <w:tcW w:type="dxa" w:w="446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«estimated canonical corpus exceeds --max-corpus-bytes»</w:t>
            </w:r>
          </w:p>
        </w:tc>
        <w:tc>
          <w:tcPr>
            <w:tcW w:type="dxa" w:w="532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Знизьте </w:t>
            </w:r>
            <w:r>
              <w:rPr>
                <w:rFonts w:ascii="Consolas" w:hAnsi="Consolas"/>
                <w:color w:val="102A54"/>
                <w:sz w:val="18"/>
              </w:rPr>
              <w:t>--reference-multiplier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>/</w:t>
            </w:r>
            <w:r>
              <w:rPr>
                <w:rFonts w:ascii="Consolas" w:hAnsi="Consolas"/>
                <w:color w:val="102A54"/>
                <w:sz w:val="18"/>
              </w:rPr>
              <w:t>--target-corpus-bytes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або свідомо підніміть запобіжник</w:t>
            </w:r>
          </w:p>
        </w:tc>
      </w:tr>
      <w:tr>
        <w:tc>
          <w:tcPr>
            <w:tcW w:type="dxa" w:w="446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Помилки FMU / шлюзу</w:t>
            </w:r>
          </w:p>
        </w:tc>
        <w:tc>
          <w:tcPr>
            <w:tcW w:type="dxa" w:w="532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Типовий раннер їх не потребує; лише повний шлях потребує FMU + брокер</w:t>
            </w:r>
          </w:p>
        </w:tc>
      </w:tr>
      <w:tr>
        <w:tc>
          <w:tcPr>
            <w:tcW w:type="dxa" w:w="446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Файли рівнів не записано</w:t>
            </w:r>
          </w:p>
        </w:tc>
        <w:tc>
          <w:tcPr>
            <w:tcW w:type="dxa" w:w="532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Переконайтеся, що </w:t>
            </w:r>
            <w:r>
              <w:rPr>
                <w:rFonts w:ascii="Consolas" w:hAnsi="Consolas"/>
                <w:color w:val="102A54"/>
                <w:sz w:val="18"/>
              </w:rPr>
              <w:t>--output-dir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доступний для запису; тренер пише туди всі артефакти</w:t>
            </w:r>
          </w:p>
        </w:tc>
      </w:tr>
      <w:tr>
        <w:tc>
          <w:tcPr>
            <w:tcW w:type="dxa" w:w="446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Модульні тести падають після зміни</w:t>
            </w:r>
          </w:p>
        </w:tc>
        <w:tc>
          <w:tcPr>
            <w:tcW w:type="dxa" w:w="532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Зміна ознаки чи корпусу змінила поведінку; перегляньте diff та очікувані метрики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13  </w:t>
      </w:r>
      <w:r>
        <w:rPr>
          <w:rFonts w:ascii="Calibri" w:hAnsi="Calibri"/>
          <w:b/>
          <w:color w:val="102A54"/>
          <w:sz w:val="34"/>
        </w:rPr>
        <w:t>Додаток — шпаргалка навчання</w:t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Збірка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git clone https://github.com/rakovpublic/jneopallium.git &amp;&amp; cd jneopallium &amp;&amp; mvn clean install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Запуск сценаріїв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scripts/demo-industrial-fmi/run_demo.sh all            # Linux/macOS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powershell -File scripts/demo-industrial-fmi/run_demo.ps1 all   # Windows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Навчання, перевірка, звіти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python scripts/demo-industrial-fmi/train_loop_guardian_model.py \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--reference-multiplier 1000 --target-corpus-bytes 100gb --max-corpus-bytes 100gb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python -m unittest discover -s scripts/demo-industrial-fmi/tests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python scripts/demo-industrial-fmi/generate_run_reports.py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0E7C86"/>
          <w:sz w:val="21"/>
        </w:rPr>
        <w:t>Jneopallium Industrial Loop Guardian · Посібник з навчання. Тренер видає готову до розгортання мережу JNeopallium плюс промисловий контекст; як її запустити — у Посібнику з розгортання. Наглядовий над PLC/PID/SIS. Режим безпеки: ADVISORY. Ліцензія: BSD 3-Clause.</w:t>
      </w:r>
    </w:p>
    <w:sectPr w:rsidR="00FC693F" w:rsidRPr="0006063C" w:rsidSect="00034616">
      <w:footerReference w:type="default" r:id="rId9"/>
      <w:pgSz w:w="11909" w:h="16834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A93A6"/>
        <w:sz w:val="16"/>
      </w:rPr>
      <w:t>Jneopallium · Industrial Loop Guardian · Наглядовий шар над PLC/PID/SIS · ADVISORY</w:t>
    </w:r>
    <w:r>
      <w:rPr>
        <w:sz w:val="16"/>
      </w:rPr>
      <w:t xml:space="preserve">    </w:t>
    </w:r>
    <w:r>
      <w:rPr>
        <w:color w:val="8A93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41B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