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Georgia" w:cs="Georgia" w:eastAsia="Georgia" w:hAnsi="Georgia"/>
          <w:b/>
          <w:bCs/>
          <w:color w:val="2A0860"/>
          <w:sz w:val="42"/>
          <w:szCs w:val="42"/>
        </w:rPr>
        <w:t xml:space="preserve">Markets Trade Expectations, Not Goods</w:t>
      </w:r>
    </w:p>
    <w:p>
      <w:pPr>
        <w:spacing w:before="0" w:after="60"/>
        <w:jc w:val="center"/>
      </w:pPr>
      <w:r>
        <w:rPr>
          <w:rFonts w:ascii="Georgia" w:cs="Georgia" w:eastAsia="Georgia" w:hAnsi="Georgia"/>
          <w:b/>
          <w:bCs/>
          <w:color w:val="4A2080"/>
          <w:sz w:val="24"/>
          <w:szCs w:val="24"/>
        </w:rPr>
        <w:t xml:space="preserve">CCDR and JNEOPALLIUM Applied to the Expectation Field as the Primary Market Substance</w:t>
      </w:r>
    </w:p>
    <w:p>
      <w:pPr>
        <w:spacing w:before="0" w:after="60"/>
        <w:jc w:val="center"/>
      </w:pPr>
      <w:r>
        <w:rPr>
          <w:rFonts w:ascii="Palatino Linotype" w:cs="Palatino Linotype" w:eastAsia="Palatino Linotype" w:hAnsi="Palatino Linotype"/>
          <w:color w:val="555555"/>
          <w:sz w:val="20"/>
          <w:szCs w:val="20"/>
        </w:rPr>
        <w:t xml:space="preserve">Author: Dmytro Rakovskyi · March 2026 · CCDR Version 6 · github.com/rakovpublic/jneopallium</w:t>
      </w:r>
    </w:p>
    <w:p>
      <w:pPr>
        <w:spacing w:before="0" w:after="80"/>
        <w:jc w:val="center"/>
      </w:pPr>
      <w:r>
        <w:rPr>
          <w:rFonts w:ascii="Palatino Linotype" w:cs="Palatino Linotype" w:eastAsia="Palatino Linotype" w:hAnsi="Palatino Linotype"/>
          <w:i/>
          <w:iCs/>
          <w:color w:val="666666"/>
          <w:sz w:val="18"/>
          <w:szCs w:val="18"/>
        </w:rPr>
        <w:t xml:space="preserve">Keywords: expectation field · stock market · CCDR · optical phonon · acoustic phonon · market condensate · holographic bound · Born rule · phase transition · grain boundary · equity risk premium · options pricing · dark matter · JNEOPALLIUM</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Abstract</w:t>
      </w:r>
    </w:p>
    <w:p>
      <w:pPr>
        <w:spacing w:before="80" w:after="80"/>
      </w:pPr>
      <w:r>
        <w:rPr>
          <w:rFonts w:ascii="Palatino Linotype" w:cs="Palatino Linotype" w:eastAsia="Palatino Linotype" w:hAnsi="Palatino Linotype"/>
          <w:sz w:val="22"/>
          <w:szCs w:val="22"/>
        </w:rPr>
        <w:t xml:space="preserve">The dominant view in quantitative finance treats prices as the primary substance of markets and information as a modifier. This paper argues that the correct ontological inversion treats the collective expectation field as the primary substance and physical transactions as a small acoustic residue of that field. This inversion transforms the applicability of the CCDR framework from a useful analogy generator to the natural theoretical home for market analysis.</w:t>
      </w:r>
    </w:p>
    <w:p>
      <w:pPr>
        <w:spacing w:before="60" w:after="60"/>
      </w:pPr>
    </w:p>
    <w:p>
      <w:pPr>
        <w:spacing w:before="80" w:after="80"/>
      </w:pPr>
      <w:r>
        <w:rPr>
          <w:rFonts w:ascii="Palatino Linotype" w:cs="Palatino Linotype" w:eastAsia="Palatino Linotype" w:hAnsi="Palatino Linotype"/>
          <w:sz w:val="22"/>
          <w:szCs w:val="22"/>
        </w:rPr>
        <w:t xml:space="preserve">In the corrected CCDR identification: the expectation field is the optical phonon sector (dominant, invisible, gapped, carries internal energy without directly transporting it); physical transactions are the acoustic phonon sector (small, visible, measurable, downstream). Price formation is a quantum measurement event: a transaction collapses the expectation field wavefunction onto a specific classical price according to the Born rule. Options surfaces are direct measurements of the expectation field wavefunction, not derivative contracts on price processes.</w:t>
      </w:r>
    </w:p>
    <w:p>
      <w:pPr>
        <w:spacing w:before="60" w:after="60"/>
      </w:pPr>
    </w:p>
    <w:p>
      <w:pPr>
        <w:spacing w:before="80" w:after="80"/>
      </w:pPr>
      <w:r>
        <w:rPr>
          <w:rFonts w:ascii="Palatino Linotype" w:cs="Palatino Linotype" w:eastAsia="Palatino Linotype" w:hAnsi="Palatino Linotype"/>
          <w:sz w:val="22"/>
          <w:szCs w:val="22"/>
        </w:rPr>
        <w:t xml:space="preserve">This reframing explains why standard risk models systematically fail in crises (they model the acoustic residue, not the optical primary), why technical levels persist (topological defects of the expectation condensate are stable), why momentum exists (topological solitons of the expectation field), why the equity risk premium is not a puzzle (it is the zero-point energy of the market's temporal crystal), and why post-earnings announcement drift occurs (partial expectation condensate relaxation to a new grain equilibrium). Nine testable predictions are tabulated, each measuring the expectation field directly rather than its acoustic residue.</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1. The Ontological Inversion</w:t>
      </w:r>
    </w:p>
    <w:p>
      <w:pPr>
        <w:spacing w:before="80" w:after="80"/>
      </w:pPr>
      <w:r>
        <w:rPr>
          <w:rFonts w:ascii="Palatino Linotype" w:cs="Palatino Linotype" w:eastAsia="Palatino Linotype" w:hAnsi="Palatino Linotype"/>
          <w:sz w:val="22"/>
          <w:szCs w:val="22"/>
        </w:rPr>
        <w:t xml:space="preserve">Standard quantitative finance is built on a specific ontology: prices are primary, information is secondary. The price process is modelled directly as a stochastic differential equation. Information enters as a shock to the price process. Risk is measured in terms of price variance.</w:t>
      </w:r>
    </w:p>
    <w:p>
      <w:pPr>
        <w:spacing w:before="60" w:after="60"/>
      </w:pPr>
    </w:p>
    <w:p>
      <w:pPr>
        <w:spacing w:before="80" w:after="80"/>
      </w:pPr>
      <w:r>
        <w:rPr>
          <w:rFonts w:ascii="Palatino Linotype" w:cs="Palatino Linotype" w:eastAsia="Palatino Linotype" w:hAnsi="Palatino Linotype"/>
          <w:sz w:val="22"/>
          <w:szCs w:val="22"/>
        </w:rPr>
        <w:t xml:space="preserve">The empirical anomalies of this framework — fat tails, momentum, post-earnings drift, the equity premium puzzle, the failure of standard VaR in crises — all share a common structure: the model is correct most of the time and fails systematically in regimes where large expectation field restructurings are occurring. This suggests the model is missing the primary substance.</w:t>
      </w:r>
    </w:p>
    <w:p>
      <w:pPr>
        <w:spacing w:before="60" w:after="60"/>
      </w:pPr>
    </w:p>
    <w:p>
      <w:pPr>
        <w:spacing w:before="80" w:after="80"/>
      </w:pPr>
      <w:r>
        <w:rPr>
          <w:rFonts w:ascii="Palatino Linotype" w:cs="Palatino Linotype" w:eastAsia="Palatino Linotype" w:hAnsi="Palatino Linotype"/>
          <w:sz w:val="22"/>
          <w:szCs w:val="22"/>
        </w:rPr>
        <w:t xml:space="preserve">The correct ontology: the collective expectation field is primary. Physical transactions are the small residue that becomes visible when expectations crystallise into action. The ratio of notional outstanding derivatives (expectation instruments) to underlying physical instruments in major markets is 10:1 to 100:1 — expectations dominate physical flows by one to two orders of magnitude, exactly as dark matter outweighs ordinary matter by approximately 5:1.</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2. The Correct CCDR Identification</w:t>
      </w:r>
    </w:p>
    <w:p>
      <w:pPr>
        <w:spacing w:before="80" w:after="80"/>
      </w:pPr>
      <w:r>
        <w:rPr>
          <w:rFonts w:ascii="Palatino Linotype" w:cs="Palatino Linotype" w:eastAsia="Palatino Linotype" w:hAnsi="Palatino Linotype"/>
          <w:sz w:val="22"/>
          <w:szCs w:val="22"/>
        </w:rPr>
        <w:t xml:space="preserve">In standard CCDR: ordinary matter is the acoustic phonon sector (visible, propagates, directly observable) and dark matter is the optical phonon sector (invisible, gapped, carries internal energy without transporting it, doesn’t couple directly to acoustic modes).</w:t>
      </w:r>
    </w:p>
    <w:p>
      <w:pPr>
        <w:spacing w:before="60" w:after="60"/>
      </w:pPr>
    </w:p>
    <w:p>
      <w:pPr>
        <w:spacing w:before="80" w:after="80"/>
      </w:pPr>
      <w:r>
        <w:rPr>
          <w:rFonts w:ascii="Palatino Linotype" w:cs="Palatino Linotype" w:eastAsia="Palatino Linotype" w:hAnsi="Palatino Linotype"/>
          <w:sz w:val="22"/>
          <w:szCs w:val="22"/>
        </w:rPr>
        <w:t xml:space="preserve">In the expectation-primary market framework:</w:t>
      </w:r>
    </w:p>
    <w:p>
      <w:pPr>
        <w:spacing w:before="60" w:after="60"/>
      </w:pPr>
    </w:p>
    <w:p>
      <w:pPr>
        <w:spacing w:before="100" w:after="100"/>
      </w:pPr>
      <w:r>
        <w:rPr>
          <w:rFonts w:ascii="Courier New" w:cs="Courier New" w:eastAsia="Courier New" w:hAnsi="Courier New"/>
          <w:color w:val="2A006A"/>
          <w:sz w:val="20"/>
          <w:szCs w:val="20"/>
        </w:rPr>
        <w:t xml:space="preserve">Optical phonon sector = the expectation field</w:t>
      </w:r>
    </w:p>
    <w:p>
      <w:pPr>
        <w:spacing w:before="100" w:after="100"/>
      </w:pPr>
      <w:r>
        <w:rPr>
          <w:rFonts w:ascii="Courier New" w:cs="Courier New" w:eastAsia="Courier New" w:hAnsi="Courier New"/>
          <w:color w:val="2A006A"/>
          <w:sz w:val="20"/>
          <w:szCs w:val="20"/>
        </w:rPr>
        <w:t xml:space="preserve">  Invisible: expectations exist without transactions</w:t>
      </w:r>
    </w:p>
    <w:p>
      <w:pPr>
        <w:spacing w:before="100" w:after="100"/>
      </w:pPr>
      <w:r>
        <w:rPr>
          <w:rFonts w:ascii="Courier New" w:cs="Courier New" w:eastAsia="Courier New" w:hAnsi="Courier New"/>
          <w:color w:val="2A006A"/>
          <w:sz w:val="20"/>
          <w:szCs w:val="20"/>
        </w:rPr>
        <w:t xml:space="preserve">  Gapped: minimum expectation strength required to trigger a transaction</w:t>
      </w:r>
    </w:p>
    <w:p>
      <w:pPr>
        <w:spacing w:before="100" w:after="100"/>
      </w:pPr>
      <w:r>
        <w:rPr>
          <w:rFonts w:ascii="Courier New" w:cs="Courier New" w:eastAsia="Courier New" w:hAnsi="Courier New"/>
          <w:color w:val="2A006A"/>
          <w:sz w:val="20"/>
          <w:szCs w:val="20"/>
        </w:rPr>
        <w:t xml:space="preserve">  Flat dispersion: expectations don't travel in space</w:t>
      </w:r>
    </w:p>
    <w:p>
      <w:pPr>
        <w:spacing w:before="100" w:after="100"/>
      </w:pPr>
      <w:r>
        <w:rPr>
          <w:rFonts w:ascii="Courier New" w:cs="Courier New" w:eastAsia="Courier New" w:hAnsi="Courier New"/>
          <w:color w:val="2A006A"/>
          <w:sz w:val="20"/>
          <w:szCs w:val="20"/>
        </w:rPr>
        <w:t xml:space="preserve">    (Tokyo and London can hold identical expectations with no wave)</w:t>
      </w:r>
    </w:p>
    <w:p>
      <w:pPr>
        <w:spacing w:before="100" w:after="100"/>
      </w:pPr>
      <w:r>
        <w:rPr>
          <w:rFonts w:ascii="Courier New" w:cs="Courier New" w:eastAsia="Courier New" w:hAnsi="Courier New"/>
          <w:color w:val="2A006A"/>
          <w:sz w:val="20"/>
          <w:szCs w:val="20"/>
        </w:rPr>
        <w:t xml:space="preserve">  Dominant: outweighs physical transactions by 10x-100x</w:t>
      </w:r>
    </w:p>
    <w:p>
      <w:pPr>
        <w:spacing w:before="100" w:after="100"/>
      </w:pPr>
      <w:r>
        <w:rPr>
          <w:rFonts w:ascii="Courier New" w:cs="Courier New" w:eastAsia="Courier New" w:hAnsi="Courier New"/>
          <w:color w:val="2A006A"/>
          <w:sz w:val="20"/>
          <w:szCs w:val="20"/>
        </w:rPr>
        <w:t xml:space="preserve">  Zero-point energy: equity risk premium</w:t>
      </w:r>
    </w:p>
    <w:p>
      <w:pPr>
        <w:spacing w:before="60" w:after="60"/>
      </w:pPr>
    </w:p>
    <w:p>
      <w:pPr>
        <w:spacing w:before="100" w:after="100"/>
      </w:pPr>
      <w:r>
        <w:rPr>
          <w:rFonts w:ascii="Courier New" w:cs="Courier New" w:eastAsia="Courier New" w:hAnsi="Courier New"/>
          <w:color w:val="2A006A"/>
          <w:sz w:val="20"/>
          <w:szCs w:val="20"/>
        </w:rPr>
        <w:t xml:space="preserve">Acoustic phonon sector = physical transactions</w:t>
      </w:r>
    </w:p>
    <w:p>
      <w:pPr>
        <w:spacing w:before="100" w:after="100"/>
      </w:pPr>
      <w:r>
        <w:rPr>
          <w:rFonts w:ascii="Courier New" w:cs="Courier New" w:eastAsia="Courier New" w:hAnsi="Courier New"/>
          <w:color w:val="2A006A"/>
          <w:sz w:val="20"/>
          <w:szCs w:val="20"/>
        </w:rPr>
        <w:t xml:space="preserve">  Visible: every transaction is publicly recorded</w:t>
      </w:r>
    </w:p>
    <w:p>
      <w:pPr>
        <w:spacing w:before="100" w:after="100"/>
      </w:pPr>
      <w:r>
        <w:rPr>
          <w:rFonts w:ascii="Courier New" w:cs="Courier New" w:eastAsia="Courier New" w:hAnsi="Courier New"/>
          <w:color w:val="2A006A"/>
          <w:sz w:val="20"/>
          <w:szCs w:val="20"/>
        </w:rPr>
        <w:t xml:space="preserve">  Propagates: price information travels between markets</w:t>
      </w:r>
    </w:p>
    <w:p>
      <w:pPr>
        <w:spacing w:before="100" w:after="100"/>
      </w:pPr>
      <w:r>
        <w:rPr>
          <w:rFonts w:ascii="Courier New" w:cs="Courier New" w:eastAsia="Courier New" w:hAnsi="Courier New"/>
          <w:color w:val="2A006A"/>
          <w:sz w:val="20"/>
          <w:szCs w:val="20"/>
        </w:rPr>
        <w:t xml:space="preserve">  Directly observable: the tape is the acoustic field</w:t>
      </w:r>
    </w:p>
    <w:p>
      <w:pPr>
        <w:spacing w:before="100" w:after="100"/>
      </w:pPr>
      <w:r>
        <w:rPr>
          <w:rFonts w:ascii="Courier New" w:cs="Courier New" w:eastAsia="Courier New" w:hAnsi="Courier New"/>
          <w:color w:val="2A006A"/>
          <w:sz w:val="20"/>
          <w:szCs w:val="20"/>
        </w:rPr>
        <w:t xml:space="preserve">  Small: a minority fraction of total market 'mass'</w:t>
      </w:r>
    </w:p>
    <w:p>
      <w:pPr>
        <w:spacing w:before="60" w:after="60"/>
      </w:pPr>
    </w:p>
    <w:p>
      <w:pPr>
        <w:spacing w:before="80" w:after="80"/>
      </w:pPr>
      <w:r>
        <w:rPr>
          <w:rFonts w:ascii="Palatino Linotype" w:cs="Palatino Linotype" w:eastAsia="Palatino Linotype" w:hAnsi="Palatino Linotype"/>
          <w:sz w:val="22"/>
          <w:szCs w:val="22"/>
        </w:rPr>
        <w:t xml:space="preserve">The market is a dark-sector dominated system. Physical transactions are the small visible residue of a much larger invisible expectation field. Standard financial analysis focuses almost entirely on the acoustic residue. CCDR analysis must focus on the optical primary.</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3. Expectations as Quantum Fields</w:t>
      </w:r>
    </w:p>
    <w:p>
      <w:pPr>
        <w:spacing w:before="80" w:after="80"/>
      </w:pPr>
      <w:r>
        <w:rPr>
          <w:rFonts w:ascii="Palatino Linotype" w:cs="Palatino Linotype" w:eastAsia="Palatino Linotype" w:hAnsi="Palatino Linotype"/>
          <w:sz w:val="22"/>
          <w:szCs w:val="22"/>
        </w:rPr>
        <w:t xml:space="preserve">Expectations have a property that physical goods do not: they are genuinely quantum before observation. An expectation does not have a definite value until a transaction forces it to declare itself. Between transactions, it exists in a superposition of possible values, weighted by the probability distribution the expectation holder assigns to future outcomes.</w:t>
      </w:r>
    </w:p>
    <w:p>
      <w:pPr>
        <w:spacing w:before="60" w:after="60"/>
      </w:pPr>
    </w:p>
    <w:p>
      <w:pPr>
        <w:spacing w:before="80" w:after="80"/>
      </w:pPr>
      <w:r>
        <w:rPr>
          <w:rFonts w:ascii="Palatino Linotype" w:cs="Palatino Linotype" w:eastAsia="Palatino Linotype" w:hAnsi="Palatino Linotype"/>
          <w:sz w:val="22"/>
          <w:szCs w:val="22"/>
        </w:rPr>
        <w:t xml:space="preserve">This is not metaphor. The options market directly encodes the full probability distribution of the expectation field. An options implied volatility surface is a direct measurement of the quantum wavefunction of the price expectation at a specific future time.</w:t>
      </w:r>
    </w:p>
    <w:p>
      <w:pPr>
        <w:spacing w:before="60" w:after="60"/>
      </w:pPr>
    </w:p>
    <w:p>
      <w:pPr>
        <w:spacing w:before="100" w:after="100"/>
      </w:pPr>
      <w:r>
        <w:rPr>
          <w:rFonts w:ascii="Courier New" w:cs="Courier New" w:eastAsia="Courier New" w:hAnsi="Courier New"/>
          <w:color w:val="2A006A"/>
          <w:sz w:val="20"/>
          <w:szCs w:val="20"/>
        </w:rPr>
        <w:t xml:space="preserve">Expectation field wavefunction:</w:t>
      </w:r>
    </w:p>
    <w:p>
      <w:pPr>
        <w:spacing w:before="100" w:after="100"/>
      </w:pPr>
      <w:r>
        <w:rPr>
          <w:rFonts w:ascii="Courier New" w:cs="Courier New" w:eastAsia="Courier New" w:hAnsi="Courier New"/>
          <w:color w:val="2A006A"/>
          <w:sz w:val="20"/>
          <w:szCs w:val="20"/>
        </w:rPr>
        <w:t xml:space="preserve">  ψ_exp(price, time) = probability amplitude for expectation</w:t>
      </w:r>
    </w:p>
    <w:p>
      <w:pPr>
        <w:spacing w:before="100" w:after="100"/>
      </w:pPr>
      <w:r>
        <w:rPr>
          <w:rFonts w:ascii="Courier New" w:cs="Courier New" w:eastAsia="Courier New" w:hAnsi="Courier New"/>
          <w:color w:val="2A006A"/>
          <w:sz w:val="20"/>
          <w:szCs w:val="20"/>
        </w:rPr>
        <w:t xml:space="preserve">                       about future price at future time</w:t>
      </w:r>
    </w:p>
    <w:p>
      <w:pPr>
        <w:spacing w:before="60" w:after="60"/>
      </w:pPr>
    </w:p>
    <w:p>
      <w:pPr>
        <w:spacing w:before="100" w:after="100"/>
      </w:pPr>
      <w:r>
        <w:rPr>
          <w:rFonts w:ascii="Courier New" w:cs="Courier New" w:eastAsia="Courier New" w:hAnsi="Courier New"/>
          <w:color w:val="2A006A"/>
          <w:sz w:val="20"/>
          <w:szCs w:val="20"/>
        </w:rPr>
        <w:t xml:space="preserve">Transaction = collapse of ψ_exp onto a specific classical price</w:t>
      </w:r>
    </w:p>
    <w:p>
      <w:pPr>
        <w:spacing w:before="100" w:after="100"/>
      </w:pPr>
      <w:r>
        <w:rPr>
          <w:rFonts w:ascii="Courier New" w:cs="Courier New" w:eastAsia="Courier New" w:hAnsi="Courier New"/>
          <w:color w:val="2A006A"/>
          <w:sz w:val="20"/>
          <w:szCs w:val="20"/>
        </w:rPr>
        <w:t xml:space="preserve">Born rule:  P(transaction at price x) = |ψ_exp(x)|²</w:t>
      </w:r>
    </w:p>
    <w:p>
      <w:pPr>
        <w:spacing w:before="60" w:after="60"/>
      </w:pPr>
    </w:p>
    <w:p>
      <w:pPr>
        <w:spacing w:before="100" w:after="100"/>
      </w:pPr>
      <w:r>
        <w:rPr>
          <w:rFonts w:ascii="Courier New" w:cs="Courier New" w:eastAsia="Courier New" w:hAnsi="Courier New"/>
          <w:color w:val="2A006A"/>
          <w:sz w:val="20"/>
          <w:szCs w:val="20"/>
        </w:rPr>
        <w:t xml:space="preserve">Options implied volatility surface = direct measurement of ψ_exp</w:t>
      </w:r>
    </w:p>
    <w:p>
      <w:pPr>
        <w:spacing w:before="100" w:after="100"/>
      </w:pPr>
      <w:r>
        <w:rPr>
          <w:rFonts w:ascii="Courier New" w:cs="Courier New" w:eastAsia="Courier New" w:hAnsi="Courier New"/>
          <w:color w:val="2A006A"/>
          <w:sz w:val="20"/>
          <w:szCs w:val="20"/>
        </w:rPr>
        <w:t xml:space="preserve">  NOT: a convenient parametrisation of option prices</w:t>
      </w:r>
    </w:p>
    <w:p>
      <w:pPr>
        <w:spacing w:before="100" w:after="100"/>
      </w:pPr>
      <w:r>
        <w:rPr>
          <w:rFonts w:ascii="Courier New" w:cs="Courier New" w:eastAsia="Courier New" w:hAnsi="Courier New"/>
          <w:color w:val="2A006A"/>
          <w:sz w:val="20"/>
          <w:szCs w:val="20"/>
        </w:rPr>
        <w:t xml:space="preserve">  BUT: the quantum wavefunction of the collective expectation field</w:t>
      </w:r>
    </w:p>
    <w:p>
      <w:pPr>
        <w:spacing w:before="60" w:after="60"/>
      </w:pPr>
    </w:p>
    <w:p>
      <w:pPr>
        <w:spacing w:before="80" w:after="80"/>
      </w:pPr>
      <w:r>
        <w:rPr>
          <w:rFonts w:ascii="Palatino Linotype" w:cs="Palatino Linotype" w:eastAsia="Palatino Linotype" w:hAnsi="Palatino Linotype"/>
          <w:sz w:val="22"/>
          <w:szCs w:val="22"/>
        </w:rPr>
        <w:t xml:space="preserve">This means the price process is not a stochastic process. It is a sequence of quantum measurement outcomes of the expectation field. The randomness of price changes is quantum uncertainty in the expectation field being resolved by the act of transaction — not classical noise.</w:t>
      </w:r>
    </w:p>
    <w:p>
      <w:pPr>
        <w:spacing w:before="60" w:after="60"/>
      </w:pPr>
    </w:p>
    <w:p>
      <w:pPr>
        <w:spacing w:before="80" w:after="80"/>
      </w:pPr>
      <w:r>
        <w:rPr>
          <w:rFonts w:ascii="Palatino Linotype" w:cs="Palatino Linotype" w:eastAsia="Palatino Linotype" w:hAnsi="Palatino Linotype"/>
          <w:sz w:val="22"/>
          <w:szCs w:val="22"/>
        </w:rPr>
        <w:t xml:space="preserve">Standard financial models (Black-Scholes, GARCH, all stochastic volatility models) are classical approximations of what is, in the CCDR reframing, a quantum process. They systematically misestimate tail probabilities because quantum measurement distributions are not bounded by the central limit theorem in the same way classical stochastic processes are.</w:t>
      </w:r>
    </w:p>
    <w:p>
      <w:pPr>
        <w:spacing w:before="60" w:after="60"/>
      </w:pPr>
    </w:p>
    <w:p>
      <w:pPr>
        <w:spacing w:before="80" w:after="80"/>
      </w:pPr>
      <w:r>
        <w:rPr>
          <w:rFonts w:ascii="Palatino Linotype" w:cs="Palatino Linotype" w:eastAsia="Palatino Linotype" w:hAnsi="Palatino Linotype"/>
          <w:sz w:val="22"/>
          <w:szCs w:val="22"/>
        </w:rPr>
        <w:t xml:space="preserve">Market Schrödinger equation (formal):</w:t>
      </w:r>
    </w:p>
    <w:p>
      <w:pPr>
        <w:spacing w:before="100" w:after="100"/>
      </w:pPr>
      <w:r>
        <w:rPr>
          <w:rFonts w:ascii="Courier New" w:cs="Courier New" w:eastAsia="Courier New" w:hAnsi="Courier New"/>
          <w:color w:val="2A006A"/>
          <w:sz w:val="20"/>
          <w:szCs w:val="20"/>
        </w:rPr>
        <w:t xml:space="preserve">iħ_market · ∂ψ_exp/∂t = Ĥ_market · ψ_exp</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where ħ_market = minimum price tick × minimum time interval</w:t>
      </w:r>
    </w:p>
    <w:p>
      <w:pPr>
        <w:spacing w:before="100" w:after="100"/>
      </w:pPr>
      <w:r>
        <w:rPr>
          <w:rFonts w:ascii="Courier New" w:cs="Courier New" w:eastAsia="Courier New" w:hAnsi="Courier New"/>
          <w:color w:val="2A006A"/>
          <w:sz w:val="20"/>
          <w:szCs w:val="20"/>
        </w:rPr>
        <w:t xml:space="preserve">                (market analogue of Planck's constant)</w:t>
      </w:r>
    </w:p>
    <w:p>
      <w:pPr>
        <w:spacing w:before="100" w:after="100"/>
      </w:pPr>
      <w:r>
        <w:rPr>
          <w:rFonts w:ascii="Courier New" w:cs="Courier New" w:eastAsia="Courier New" w:hAnsi="Courier New"/>
          <w:color w:val="2A006A"/>
          <w:sz w:val="20"/>
          <w:szCs w:val="20"/>
        </w:rPr>
        <w:t xml:space="preserve">      Ĥ_market = market Hamiltonian encoding condensate dynamics:</w:t>
      </w:r>
    </w:p>
    <w:p>
      <w:pPr>
        <w:spacing w:before="100" w:after="100"/>
      </w:pPr>
      <w:r>
        <w:rPr>
          <w:rFonts w:ascii="Courier New" w:cs="Courier New" w:eastAsia="Courier New" w:hAnsi="Courier New"/>
          <w:color w:val="2A006A"/>
          <w:sz w:val="20"/>
          <w:szCs w:val="20"/>
        </w:rPr>
        <w:t xml:space="preserve">                - mean reversion forces (harmonic potential)</w:t>
      </w:r>
    </w:p>
    <w:p>
      <w:pPr>
        <w:spacing w:before="100" w:after="100"/>
      </w:pPr>
      <w:r>
        <w:rPr>
          <w:rFonts w:ascii="Courier New" w:cs="Courier New" w:eastAsia="Courier New" w:hAnsi="Courier New"/>
          <w:color w:val="2A006A"/>
          <w:sz w:val="20"/>
          <w:szCs w:val="20"/>
        </w:rPr>
        <w:t xml:space="preserve">                - momentum forces (kinetic term)</w:t>
      </w:r>
    </w:p>
    <w:p>
      <w:pPr>
        <w:spacing w:before="100" w:after="100"/>
      </w:pPr>
      <w:r>
        <w:rPr>
          <w:rFonts w:ascii="Courier New" w:cs="Courier New" w:eastAsia="Courier New" w:hAnsi="Courier New"/>
          <w:color w:val="2A006A"/>
          <w:sz w:val="20"/>
          <w:szCs w:val="20"/>
        </w:rPr>
        <w:t xml:space="preserve">                - information shocks (potential energy perturbations)</w:t>
      </w:r>
    </w:p>
    <w:p>
      <w:pPr>
        <w:spacing w:before="100" w:after="100"/>
      </w:pPr>
      <w:r>
        <w:rPr>
          <w:rFonts w:ascii="Courier New" w:cs="Courier New" w:eastAsia="Courier New" w:hAnsi="Courier New"/>
          <w:color w:val="2A006A"/>
          <w:sz w:val="20"/>
          <w:szCs w:val="20"/>
        </w:rPr>
        <w:t xml:space="preserve">                - inter-agent interactions (phonon-phonon coupling)</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4. The Expectation Condensate and Phase Structure</w:t>
      </w:r>
    </w:p>
    <w:p>
      <w:pPr>
        <w:spacing w:before="80" w:after="80"/>
      </w:pPr>
      <w:r>
        <w:rPr>
          <w:rFonts w:ascii="Palatino Linotype" w:cs="Palatino Linotype" w:eastAsia="Palatino Linotype" w:hAnsi="Palatino Linotype"/>
          <w:sz w:val="22"/>
          <w:szCs w:val="22"/>
        </w:rPr>
        <w:t xml:space="preserve">In CCDR, the spacetime crystal is an ordered phase of the acoustic phonon condensate — coherent long-range ordering that arose from a primordial disordered state. Market regimes are ordered phases of the expectation condensate.</w:t>
      </w:r>
    </w:p>
    <w:p>
      <w:pPr>
        <w:spacing w:before="60" w:after="60"/>
      </w:pPr>
    </w:p>
    <w:p>
      <w:pPr>
        <w:pStyle w:val="Heading2"/>
        <w:spacing w:before="240" w:after="80"/>
      </w:pPr>
      <w:r>
        <w:rPr>
          <w:rFonts w:ascii="Georgia" w:cs="Georgia" w:eastAsia="Georgia" w:hAnsi="Georgia"/>
          <w:b/>
          <w:bCs/>
          <w:color w:val="4A2080"/>
          <w:sz w:val="24"/>
          <w:szCs w:val="24"/>
        </w:rPr>
        <w:t xml:space="preserve">4.1 Bull and Bear Markets as Condensate Phases</w:t>
      </w:r>
    </w:p>
    <w:p>
      <w:pPr>
        <w:spacing w:before="100" w:after="100"/>
      </w:pPr>
      <w:r>
        <w:rPr>
          <w:rFonts w:ascii="Courier New" w:cs="Courier New" w:eastAsia="Courier New" w:hAnsi="Courier New"/>
          <w:color w:val="2A006A"/>
          <w:sz w:val="20"/>
          <w:szCs w:val="20"/>
        </w:rPr>
        <w:t xml:space="preserve">Bull market:</w:t>
      </w:r>
    </w:p>
    <w:p>
      <w:pPr>
        <w:spacing w:before="100" w:after="100"/>
      </w:pPr>
      <w:r>
        <w:rPr>
          <w:rFonts w:ascii="Courier New" w:cs="Courier New" w:eastAsia="Courier New" w:hAnsi="Courier New"/>
          <w:color w:val="2A006A"/>
          <w:sz w:val="20"/>
          <w:szCs w:val="20"/>
        </w:rPr>
        <w:t xml:space="preserve">  Expectation condensate in ordered phase</w:t>
      </w:r>
    </w:p>
    <w:p>
      <w:pPr>
        <w:spacing w:before="100" w:after="100"/>
      </w:pPr>
      <w:r>
        <w:rPr>
          <w:rFonts w:ascii="Courier New" w:cs="Courier New" w:eastAsia="Courier New" w:hAnsi="Courier New"/>
          <w:color w:val="2A006A"/>
          <w:sz w:val="20"/>
          <w:szCs w:val="20"/>
        </w:rPr>
        <w:t xml:space="preserve">  Order parameter: collective expectation coherence (all agents aligned)</w:t>
      </w:r>
    </w:p>
    <w:p>
      <w:pPr>
        <w:spacing w:before="100" w:after="100"/>
      </w:pPr>
      <w:r>
        <w:rPr>
          <w:rFonts w:ascii="Courier New" w:cs="Courier New" w:eastAsia="Courier New" w:hAnsi="Courier New"/>
          <w:color w:val="2A006A"/>
          <w:sz w:val="20"/>
          <w:szCs w:val="20"/>
        </w:rPr>
        <w:t xml:space="preserve">  Long-range order: bullish expectation in one part correlates with all parts</w:t>
      </w:r>
    </w:p>
    <w:p>
      <w:pPr>
        <w:spacing w:before="100" w:after="100"/>
      </w:pPr>
      <w:r>
        <w:rPr>
          <w:rFonts w:ascii="Courier New" w:cs="Courier New" w:eastAsia="Courier New" w:hAnsi="Courier New"/>
          <w:color w:val="2A006A"/>
          <w:sz w:val="20"/>
          <w:szCs w:val="20"/>
        </w:rPr>
        <w:t xml:space="preserve">  Broken symmetry: bull/bear symmetry broken in favour of bullish</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Bear market / crisis:</w:t>
      </w:r>
    </w:p>
    <w:p>
      <w:pPr>
        <w:spacing w:before="100" w:after="100"/>
      </w:pPr>
      <w:r>
        <w:rPr>
          <w:rFonts w:ascii="Courier New" w:cs="Courier New" w:eastAsia="Courier New" w:hAnsi="Courier New"/>
          <w:color w:val="2A006A"/>
          <w:sz w:val="20"/>
          <w:szCs w:val="20"/>
        </w:rPr>
        <w:t xml:space="preserve">  Phase transition has occurred</w:t>
      </w:r>
    </w:p>
    <w:p>
      <w:pPr>
        <w:spacing w:before="100" w:after="100"/>
      </w:pPr>
      <w:r>
        <w:rPr>
          <w:rFonts w:ascii="Courier New" w:cs="Courier New" w:eastAsia="Courier New" w:hAnsi="Courier New"/>
          <w:color w:val="2A006A"/>
          <w:sz w:val="20"/>
          <w:szCs w:val="20"/>
        </w:rPr>
        <w:t xml:space="preserve">  Order parameter collapsed, then re-established in bearish direction</w:t>
      </w:r>
    </w:p>
    <w:p>
      <w:pPr>
        <w:spacing w:before="100" w:after="100"/>
      </w:pPr>
      <w:r>
        <w:rPr>
          <w:rFonts w:ascii="Courier New" w:cs="Courier New" w:eastAsia="Courier New" w:hAnsi="Courier New"/>
          <w:color w:val="2A006A"/>
          <w:sz w:val="20"/>
          <w:szCs w:val="20"/>
        </w:rPr>
        <w:t xml:space="preserve">  OR: condensate in disordered (high-temperature) phase:</w:t>
      </w:r>
    </w:p>
    <w:p>
      <w:pPr>
        <w:spacing w:before="100" w:after="100"/>
      </w:pPr>
      <w:r>
        <w:rPr>
          <w:rFonts w:ascii="Courier New" w:cs="Courier New" w:eastAsia="Courier New" w:hAnsi="Courier New"/>
          <w:color w:val="2A006A"/>
          <w:sz w:val="20"/>
          <w:szCs w:val="20"/>
        </w:rPr>
        <w:t xml:space="preserve">      high vol, no clear direction = maximum uncertainty</w:t>
      </w:r>
    </w:p>
    <w:p>
      <w:pPr>
        <w:spacing w:before="100" w:after="100"/>
      </w:pPr>
      <w:r>
        <w:rPr>
          <w:rFonts w:ascii="Courier New" w:cs="Courier New" w:eastAsia="Courier New" w:hAnsi="Courier New"/>
          <w:color w:val="2A006A"/>
          <w:sz w:val="20"/>
          <w:szCs w:val="20"/>
        </w:rPr>
        <w:t xml:space="preserve">      this is the intermediate disordered phase during transition</w:t>
      </w:r>
    </w:p>
    <w:p>
      <w:pPr>
        <w:spacing w:before="60" w:after="60"/>
      </w:pPr>
    </w:p>
    <w:p>
      <w:pPr>
        <w:spacing w:before="80" w:after="80"/>
      </w:pPr>
      <w:r>
        <w:rPr>
          <w:rFonts w:ascii="Palatino Linotype" w:cs="Palatino Linotype" w:eastAsia="Palatino Linotype" w:hAnsi="Palatino Linotype"/>
          <w:sz w:val="22"/>
          <w:szCs w:val="22"/>
        </w:rPr>
        <w:t xml:space="preserve">The transition between bull and bear is not a gradual rotation of the order parameter. It is a genuine topological phase transition: the order parameter passes through zero (disordered phase) before re-establishing in the new direction. This is what major market turns look like: a period of confused, high-volatility, directionless price action before the new trend establishes. Standard models treat this as noise. CCDR identifies it as the disordered phase of the condensate during a phase transition.</w:t>
      </w:r>
    </w:p>
    <w:p>
      <w:pPr>
        <w:spacing w:before="60" w:after="60"/>
      </w:pPr>
    </w:p>
    <w:p>
      <w:pPr>
        <w:pStyle w:val="Heading2"/>
        <w:spacing w:before="240" w:after="80"/>
      </w:pPr>
      <w:r>
        <w:rPr>
          <w:rFonts w:ascii="Georgia" w:cs="Georgia" w:eastAsia="Georgia" w:hAnsi="Georgia"/>
          <w:b/>
          <w:bCs/>
          <w:color w:val="4A2080"/>
          <w:sz w:val="24"/>
          <w:szCs w:val="24"/>
        </w:rPr>
        <w:t xml:space="preserve">4.2 The Grain Structure of Market Narratives</w:t>
      </w:r>
    </w:p>
    <w:p>
      <w:pPr>
        <w:spacing w:before="100" w:after="100"/>
      </w:pPr>
      <w:r>
        <w:rPr>
          <w:rFonts w:ascii="Courier New" w:cs="Courier New" w:eastAsia="Courier New" w:hAnsi="Courier New"/>
          <w:color w:val="2A006A"/>
          <w:sz w:val="20"/>
          <w:szCs w:val="20"/>
        </w:rPr>
        <w:t xml:space="preserve">Each grain = a coherent expectation narrative</w:t>
      </w:r>
    </w:p>
    <w:p>
      <w:pPr>
        <w:spacing w:before="100" w:after="100"/>
      </w:pPr>
      <w:r>
        <w:rPr>
          <w:rFonts w:ascii="Courier New" w:cs="Courier New" w:eastAsia="Courier New" w:hAnsi="Courier New"/>
          <w:color w:val="2A006A"/>
          <w:sz w:val="20"/>
          <w:szCs w:val="20"/>
        </w:rPr>
        <w:t xml:space="preserve">  'Tech will grow at 20% for the next decade' → tech sector grain</w:t>
      </w:r>
    </w:p>
    <w:p>
      <w:pPr>
        <w:spacing w:before="100" w:after="100"/>
      </w:pPr>
      <w:r>
        <w:rPr>
          <w:rFonts w:ascii="Courier New" w:cs="Courier New" w:eastAsia="Courier New" w:hAnsi="Courier New"/>
          <w:color w:val="2A006A"/>
          <w:sz w:val="20"/>
          <w:szCs w:val="20"/>
        </w:rPr>
        <w:t xml:space="preserve">  'Inflation is transitory'                  → monetary policy grain</w:t>
      </w:r>
    </w:p>
    <w:p>
      <w:pPr>
        <w:spacing w:before="100" w:after="100"/>
      </w:pPr>
      <w:r>
        <w:rPr>
          <w:rFonts w:ascii="Courier New" w:cs="Courier New" w:eastAsia="Courier New" w:hAnsi="Courier New"/>
          <w:color w:val="2A006A"/>
          <w:sz w:val="20"/>
          <w:szCs w:val="20"/>
        </w:rPr>
        <w:t xml:space="preserve">  'China is decoupling'                      → geopolitical grain</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Grain boundaries = competing narratives with irreconcilable differences</w:t>
      </w:r>
    </w:p>
    <w:p>
      <w:pPr>
        <w:spacing w:before="100" w:after="100"/>
      </w:pPr>
      <w:r>
        <w:rPr>
          <w:rFonts w:ascii="Courier New" w:cs="Courier New" w:eastAsia="Courier New" w:hAnsi="Courier New"/>
          <w:color w:val="2A006A"/>
          <w:sz w:val="20"/>
          <w:szCs w:val="20"/>
        </w:rPr>
        <w:t xml:space="preserve">  'Inflation transitory' vs. 'Inflation structural'</w:t>
      </w:r>
    </w:p>
    <w:p>
      <w:pPr>
        <w:spacing w:before="100" w:after="100"/>
      </w:pPr>
      <w:r>
        <w:rPr>
          <w:rFonts w:ascii="Courier New" w:cs="Courier New" w:eastAsia="Courier New" w:hAnsi="Courier New"/>
          <w:color w:val="2A006A"/>
          <w:sz w:val="20"/>
          <w:szCs w:val="20"/>
        </w:rPr>
        <w:t xml:space="preserve">  'Tech valuation justified' vs. 'Tech is in a bubble'</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Grain size = number of participants sharing the narrative</w:t>
      </w:r>
    </w:p>
    <w:p>
      <w:pPr>
        <w:spacing w:before="100" w:after="100"/>
      </w:pPr>
      <w:r>
        <w:rPr>
          <w:rFonts w:ascii="Courier New" w:cs="Courier New" w:eastAsia="Courier New" w:hAnsi="Courier New"/>
          <w:color w:val="2A006A"/>
          <w:sz w:val="20"/>
          <w:szCs w:val="20"/>
        </w:rPr>
        <w:t xml:space="preserve">  Large grain → consensus trade (low alpha, already priced)</w:t>
      </w:r>
    </w:p>
    <w:p>
      <w:pPr>
        <w:spacing w:before="100" w:after="100"/>
      </w:pPr>
      <w:r>
        <w:rPr>
          <w:rFonts w:ascii="Courier New" w:cs="Courier New" w:eastAsia="Courier New" w:hAnsi="Courier New"/>
          <w:color w:val="2A006A"/>
          <w:sz w:val="20"/>
          <w:szCs w:val="20"/>
        </w:rPr>
        <w:t xml:space="preserve">  Small grain → contrarian thesis (high alpha if correct)</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Price = weighted centroid of all grain helicity centers</w:t>
      </w:r>
    </w:p>
    <w:p>
      <w:pPr>
        <w:spacing w:before="100" w:after="100"/>
      </w:pPr>
      <w:r>
        <w:rPr>
          <w:rFonts w:ascii="Courier New" w:cs="Courier New" w:eastAsia="Courier New" w:hAnsi="Courier New"/>
          <w:color w:val="2A006A"/>
          <w:sz w:val="20"/>
          <w:szCs w:val="20"/>
        </w:rPr>
        <w:t xml:space="preserve">  (exactly as magnetic pole = weighted centroid of two core lobes)</w:t>
      </w:r>
    </w:p>
    <w:p>
      <w:pPr>
        <w:spacing w:before="60" w:after="60"/>
      </w:pPr>
    </w:p>
    <w:p>
      <w:pPr>
        <w:spacing w:before="80" w:after="80"/>
      </w:pPr>
      <w:r>
        <w:rPr>
          <w:rFonts w:ascii="Palatino Linotype" w:cs="Palatino Linotype" w:eastAsia="Palatino Linotype" w:hAnsi="Palatino Linotype"/>
          <w:sz w:val="22"/>
          <w:szCs w:val="22"/>
        </w:rPr>
        <w:t xml:space="preserve">The price is not where the consensus is — it is where the competing narratives balance. Contrarian investing works because the price has already incorporated the large grains. Alpha lies in identifying grain boundaries before the acoustic sector catches up.</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5. The Holographic Bound and Market Crashes</w:t>
      </w:r>
    </w:p>
    <w:p>
      <w:pPr>
        <w:spacing w:before="80" w:after="80"/>
      </w:pPr>
      <w:r>
        <w:rPr>
          <w:rFonts w:ascii="Palatino Linotype" w:cs="Palatino Linotype" w:eastAsia="Palatino Linotype" w:hAnsi="Palatino Linotype"/>
          <w:sz w:val="22"/>
          <w:szCs w:val="22"/>
        </w:rPr>
        <w:t xml:space="preserve">In CCDR, holographic saturation occurs when the information content of a region exceeds its boundary's encoding capacity. The system undergoes dimensional reduction.</w:t>
      </w:r>
    </w:p>
    <w:p>
      <w:pPr>
        <w:spacing w:before="60" w:after="60"/>
      </w:pPr>
    </w:p>
    <w:p>
      <w:pPr>
        <w:spacing w:before="100" w:after="100"/>
      </w:pPr>
      <w:r>
        <w:rPr>
          <w:rFonts w:ascii="Courier New" w:cs="Courier New" w:eastAsia="Courier New" w:hAnsi="Courier New"/>
          <w:color w:val="2A006A"/>
          <w:sz w:val="20"/>
          <w:szCs w:val="20"/>
        </w:rPr>
        <w:t xml:space="preserve">Market holographic saturation:</w:t>
      </w:r>
    </w:p>
    <w:p>
      <w:pPr>
        <w:spacing w:before="100" w:after="100"/>
      </w:pPr>
      <w:r>
        <w:rPr>
          <w:rFonts w:ascii="Courier New" w:cs="Courier New" w:eastAsia="Courier New" w:hAnsi="Courier New"/>
          <w:color w:val="2A006A"/>
          <w:sz w:val="20"/>
          <w:szCs w:val="20"/>
        </w:rPr>
        <w:t xml:space="preserve">  S_attention = N_agents × C_agent</w:t>
      </w:r>
    </w:p>
    <w:p>
      <w:pPr>
        <w:spacing w:before="100" w:after="100"/>
      </w:pPr>
      <w:r>
        <w:rPr>
          <w:rFonts w:ascii="Courier New" w:cs="Courier New" w:eastAsia="Courier New" w:hAnsi="Courier New"/>
          <w:color w:val="2A006A"/>
          <w:sz w:val="20"/>
          <w:szCs w:val="20"/>
        </w:rPr>
        <w:t xml:space="preserve">  where N_agents = number of independent expectation-forming agents</w:t>
      </w:r>
    </w:p>
    <w:p>
      <w:pPr>
        <w:spacing w:before="100" w:after="100"/>
      </w:pPr>
      <w:r>
        <w:rPr>
          <w:rFonts w:ascii="Courier New" w:cs="Courier New" w:eastAsia="Courier New" w:hAnsi="Courier New"/>
          <w:color w:val="2A006A"/>
          <w:sz w:val="20"/>
          <w:szCs w:val="20"/>
        </w:rPr>
        <w:t xml:space="preserve">        C_agent  = log(number of independent scenarios agent can maintain)</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When market complexity &gt; S_attention:</w:t>
      </w:r>
    </w:p>
    <w:p>
      <w:pPr>
        <w:spacing w:before="100" w:after="100"/>
      </w:pPr>
      <w:r>
        <w:rPr>
          <w:rFonts w:ascii="Courier New" w:cs="Courier New" w:eastAsia="Courier New" w:hAnsi="Courier New"/>
          <w:color w:val="2A006A"/>
          <w:sz w:val="20"/>
          <w:szCs w:val="20"/>
        </w:rPr>
        <w:t xml:space="preserve">  Agents cannot maintain independent, differentiated expectations</w:t>
      </w:r>
    </w:p>
    <w:p>
      <w:pPr>
        <w:spacing w:before="100" w:after="100"/>
      </w:pPr>
      <w:r>
        <w:rPr>
          <w:rFonts w:ascii="Courier New" w:cs="Courier New" w:eastAsia="Courier New" w:hAnsi="Courier New"/>
          <w:color w:val="2A006A"/>
          <w:sz w:val="20"/>
          <w:szCs w:val="20"/>
        </w:rPr>
        <w:t xml:space="preserve">  Expectation condensate undergoes dimensional reduction</w:t>
      </w:r>
    </w:p>
    <w:p>
      <w:pPr>
        <w:spacing w:before="100" w:after="100"/>
      </w:pPr>
      <w:r>
        <w:rPr>
          <w:rFonts w:ascii="Courier New" w:cs="Courier New" w:eastAsia="Courier New" w:hAnsi="Courier New"/>
          <w:color w:val="2A006A"/>
          <w:sz w:val="20"/>
          <w:szCs w:val="20"/>
        </w:rPr>
        <w:t xml:space="preserve">  All expectations collapse onto a single low-dimensional representation:</w:t>
      </w:r>
    </w:p>
    <w:p>
      <w:pPr>
        <w:spacing w:before="100" w:after="100"/>
      </w:pPr>
      <w:r>
        <w:rPr>
          <w:rFonts w:ascii="Courier New" w:cs="Courier New" w:eastAsia="Courier New" w:hAnsi="Courier New"/>
          <w:color w:val="2A006A"/>
          <w:sz w:val="20"/>
          <w:szCs w:val="20"/>
        </w:rPr>
        <w:t xml:space="preserve">    'risk-on' vs. 'risk-off' (the 2D attractor of market crises)</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Measurable precursor — effective dimensionality of expectation field:</w:t>
      </w:r>
    </w:p>
    <w:p>
      <w:pPr>
        <w:spacing w:before="100" w:after="100"/>
      </w:pPr>
      <w:r>
        <w:rPr>
          <w:rFonts w:ascii="Courier New" w:cs="Courier New" w:eastAsia="Courier New" w:hAnsi="Courier New"/>
          <w:color w:val="2A006A"/>
          <w:sz w:val="20"/>
          <w:szCs w:val="20"/>
        </w:rPr>
        <w:t xml:space="preserve">  D_eff = -log(Σ λi²) / log(N)</w:t>
      </w:r>
    </w:p>
    <w:p>
      <w:pPr>
        <w:spacing w:before="100" w:after="100"/>
      </w:pPr>
      <w:r>
        <w:rPr>
          <w:rFonts w:ascii="Courier New" w:cs="Courier New" w:eastAsia="Courier New" w:hAnsi="Courier New"/>
          <w:color w:val="2A006A"/>
          <w:sz w:val="20"/>
          <w:szCs w:val="20"/>
        </w:rPr>
        <w:t xml:space="preserve">  where λi = eigenvalues of cross-asset correlation matrix</w:t>
      </w:r>
    </w:p>
    <w:p>
      <w:pPr>
        <w:spacing w:before="100" w:after="100"/>
      </w:pPr>
      <w:r>
        <w:rPr>
          <w:rFonts w:ascii="Courier New" w:cs="Courier New" w:eastAsia="Courier New" w:hAnsi="Courier New"/>
          <w:color w:val="2A006A"/>
          <w:sz w:val="20"/>
          <w:szCs w:val="20"/>
        </w:rPr>
        <w:t xml:space="preserve">        N   = number of assets</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  D_eff = 1:  crisis (dimensional reduction complete)</w:t>
      </w:r>
    </w:p>
    <w:p>
      <w:pPr>
        <w:spacing w:before="100" w:after="100"/>
      </w:pPr>
      <w:r>
        <w:rPr>
          <w:rFonts w:ascii="Courier New" w:cs="Courier New" w:eastAsia="Courier New" w:hAnsi="Courier New"/>
          <w:color w:val="2A006A"/>
          <w:sz w:val="20"/>
          <w:szCs w:val="20"/>
        </w:rPr>
        <w:t xml:space="preserve">  D_eff = N:  fully diversified (maximum complexity)</w:t>
      </w:r>
    </w:p>
    <w:p>
      <w:pPr>
        <w:spacing w:before="100" w:after="100"/>
      </w:pPr>
      <w:r>
        <w:rPr>
          <w:rFonts w:ascii="Courier New" w:cs="Courier New" w:eastAsia="Courier New" w:hAnsi="Courier New"/>
          <w:color w:val="2A006A"/>
          <w:sz w:val="20"/>
          <w:szCs w:val="20"/>
        </w:rPr>
        <w:t xml:space="preserve">  D_eff decreasing over time → approaching saturation → crash risk rising</w:t>
      </w:r>
    </w:p>
    <w:p>
      <w:pPr>
        <w:spacing w:before="60" w:after="60"/>
      </w:pPr>
    </w:p>
    <w:p>
      <w:pPr>
        <w:spacing w:before="80" w:after="80"/>
      </w:pPr>
      <w:r>
        <w:rPr>
          <w:rFonts w:ascii="Palatino Linotype" w:cs="Palatino Linotype" w:eastAsia="Palatino Linotype" w:hAnsi="Palatino Linotype"/>
          <w:sz w:val="22"/>
          <w:szCs w:val="22"/>
        </w:rPr>
        <w:t xml:space="preserve">D_eff is a leading indicator of systemic risk, not a concurrent measure. It measures the complexity of the expectation field before the crash propagates into the acoustic (price) sector. Standard risk measures (VaR, CVaR) are concurrent — they measure risk as it is manifesting. D_eff measures it as it is building.</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6. Market Anomalies Re-explained</w:t>
      </w:r>
    </w:p>
    <w:p>
      <w:pPr>
        <w:spacing w:before="60" w:after="6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100"/>
        <w:gridCol w:w="1760"/>
      </w:tblGrid>
      <w:tr>
        <w:trPr>
          <w:tblHeader/>
        </w:trPr>
        <w:tc>
          <w:tcPr>
            <w:tcW w:type="dxa" w:w="1800"/>
            <w:tcBorders>
              <w:top w:val="single" w:color="4A2080" w:sz="1"/>
              <w:left w:val="single" w:color="4A2080" w:sz="1"/>
              <w:bottom w:val="single" w:color="4A2080" w:sz="1"/>
              <w:right w:val="single" w:color="4A2080" w:sz="1"/>
            </w:tcBorders>
            <w:shd w:fill="2A0860"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Anomaly</w:t>
            </w:r>
          </w:p>
        </w:tc>
        <w:tc>
          <w:tcPr>
            <w:tcW w:type="dxa" w:w="1700"/>
            <w:tcBorders>
              <w:top w:val="single" w:color="4A2080" w:sz="1"/>
              <w:left w:val="single" w:color="4A2080" w:sz="1"/>
              <w:bottom w:val="single" w:color="4A2080" w:sz="1"/>
              <w:right w:val="single" w:color="4A2080" w:sz="1"/>
            </w:tcBorders>
            <w:shd w:fill="2A0860"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Standard Explanation</w:t>
            </w:r>
          </w:p>
        </w:tc>
        <w:tc>
          <w:tcPr>
            <w:tcW w:type="dxa" w:w="2100"/>
            <w:tcBorders>
              <w:top w:val="single" w:color="4A2080" w:sz="1"/>
              <w:left w:val="single" w:color="4A2080" w:sz="1"/>
              <w:bottom w:val="single" w:color="4A2080" w:sz="1"/>
              <w:right w:val="single" w:color="4A2080" w:sz="1"/>
            </w:tcBorders>
            <w:shd w:fill="2A0860"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CCDR Explanation</w:t>
            </w:r>
          </w:p>
        </w:tc>
        <w:tc>
          <w:tcPr>
            <w:tcW w:type="dxa" w:w="1760"/>
            <w:tcBorders>
              <w:top w:val="single" w:color="4A2080" w:sz="1"/>
              <w:left w:val="single" w:color="4A2080" w:sz="1"/>
              <w:bottom w:val="single" w:color="4A2080" w:sz="1"/>
              <w:right w:val="single" w:color="4A2080" w:sz="1"/>
            </w:tcBorders>
            <w:shd w:fill="2A0860"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Prediction</w:t>
            </w:r>
          </w:p>
        </w:tc>
      </w:tr>
      <w:tr>
        <w:tc>
          <w:tcPr>
            <w:tcW w:type="dxa" w:w="18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Post-earnings announcement drift</w:t>
            </w:r>
          </w:p>
        </w:tc>
        <w:tc>
          <w:tcPr>
            <w:tcW w:type="dxa" w:w="17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Underreaction to information</w:t>
            </w:r>
          </w:p>
        </w:tc>
        <w:tc>
          <w:tcPr>
            <w:tcW w:type="dxa" w:w="21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Partial condensate relaxation to new grain equilibrium — full relaxation takes days as grain boundaries shift</w:t>
            </w:r>
          </w:p>
        </w:tc>
        <w:tc>
          <w:tcPr>
            <w:tcW w:type="dxa" w:w="176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Drift magnitude ∝ analyst forecast revision dispersion (grain reconfiguration scale)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Momentum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Behavioural: underreaction / herding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Topological soliton of expectation condensate. Propagates dispersion-free by topological protection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Momentum crashes are abrupt (soliton collapse at grain boundary), not gradual</w:t>
            </w:r>
          </w:p>
        </w:tc>
      </w:tr>
      <w:tr>
        <w:tc>
          <w:tcPr>
            <w:tcW w:type="dxa" w:w="18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Value premium</w:t>
            </w:r>
          </w:p>
        </w:tc>
        <w:tc>
          <w:tcPr>
            <w:tcW w:type="dxa" w:w="17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Risk compensation / behavioural</w:t>
            </w:r>
          </w:p>
        </w:tc>
        <w:tc>
          <w:tcPr>
            <w:tcW w:type="dxa" w:w="21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Value stocks in grains where condensate has entered disordered phase. Premium = compensation for holding through disorder</w:t>
            </w:r>
          </w:p>
        </w:tc>
        <w:tc>
          <w:tcPr>
            <w:tcW w:type="dxa" w:w="176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Value reversion is bimodal: most recover (excursion); some don't (reversal)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Equity risk premium puzzle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Unexplained by consumption models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Zero-point energy of market temporal crystal. Irreducible cost of temporal symmetry breaking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Premium oscillates with business cycle period (~3-7 yr), in phase with condensate time crystal</w:t>
            </w:r>
          </w:p>
        </w:tc>
      </w:tr>
      <w:tr>
        <w:tc>
          <w:tcPr>
            <w:tcW w:type="dxa" w:w="18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Fat tails</w:t>
            </w:r>
          </w:p>
        </w:tc>
        <w:tc>
          <w:tcPr>
            <w:tcW w:type="dxa" w:w="17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Heavy-tailed noise processes</w:t>
            </w:r>
          </w:p>
        </w:tc>
        <w:tc>
          <w:tcPr>
            <w:tcW w:type="dxa" w:w="21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Quantum measurement statistics of expectation field wavefunction, not classical noise</w:t>
            </w:r>
          </w:p>
        </w:tc>
        <w:tc>
          <w:tcPr>
            <w:tcW w:type="dxa" w:w="176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Options-implied tail probabilities match actual tail frequencies better than any classical stochastic model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Technical levels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Behavioural: self-fulfilling belief</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Topological defects of expectation condensate. Stable because topological structures resist perturbation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Levels survive changes in participant composition; new participants rediscover them independently</w:t>
            </w:r>
          </w:p>
        </w:tc>
      </w:tr>
      <w:tr>
        <w:tc>
          <w:tcPr>
            <w:tcW w:type="dxa" w:w="18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Volatility clustering</w:t>
            </w:r>
          </w:p>
        </w:tc>
        <w:tc>
          <w:tcPr>
            <w:tcW w:type="dxa" w:w="17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GARCH-type persistence</w:t>
            </w:r>
          </w:p>
        </w:tc>
        <w:tc>
          <w:tcPr>
            <w:tcW w:type="dxa" w:w="21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Condensate phase transitions are slow: once near a grain boundary the condensate oscillates before fully crossing</w:t>
            </w:r>
          </w:p>
        </w:tc>
        <w:tc>
          <w:tcPr>
            <w:tcW w:type="dxa" w:w="176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Volatility persistence timescale ∝ phonon correlation length ξ of the expectation condensate</w:t>
            </w:r>
          </w:p>
        </w:tc>
      </w:tr>
    </w:tbl>
    <w:p>
      <w:pPr>
        <w:spacing w:before="60" w:after="60"/>
      </w:pP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7. The Born Rule and Options Pricing</w:t>
      </w:r>
    </w:p>
    <w:p>
      <w:pPr>
        <w:spacing w:before="80" w:after="80"/>
      </w:pPr>
      <w:r>
        <w:rPr>
          <w:rFonts w:ascii="Palatino Linotype" w:cs="Palatino Linotype" w:eastAsia="Palatino Linotype" w:hAnsi="Palatino Linotype"/>
          <w:sz w:val="22"/>
          <w:szCs w:val="22"/>
        </w:rPr>
        <w:t xml:space="preserve">In CCDR, Section 16.3, the Born rule derivation is listed as an open problem for cosmological applications. For markets, the Born rule is not a derivation problem — it is an empirical fact testable against data.</w:t>
      </w:r>
    </w:p>
    <w:p>
      <w:pPr>
        <w:spacing w:before="60" w:after="60"/>
      </w:pPr>
    </w:p>
    <w:p>
      <w:pPr>
        <w:spacing w:before="80" w:after="80"/>
      </w:pPr>
      <w:r>
        <w:rPr>
          <w:rFonts w:ascii="Palatino Linotype" w:cs="Palatino Linotype" w:eastAsia="Palatino Linotype" w:hAnsi="Palatino Linotype"/>
          <w:sz w:val="22"/>
          <w:szCs w:val="22"/>
        </w:rPr>
        <w:t xml:space="preserve">If price formation is a quantum measurement of the expectation field, transaction prices should follow the Born rule: P(transaction at price x) = |ψ_exp(x)|². The options-implied risk-neutral distribution IS this Born rule probability distribution. This reframes options pricing entirely:</w:t>
      </w:r>
    </w:p>
    <w:p>
      <w:pPr>
        <w:spacing w:before="60" w:after="60"/>
      </w:pPr>
    </w:p>
    <w:p>
      <w:pPr>
        <w:pStyle w:val="ListParagraph"/>
        <w:numPr>
          <w:ilvl w:val="0"/>
          <w:numId w:val="2"/>
        </w:numPr>
        <w:spacing w:before="40" w:after="40"/>
      </w:pPr>
      <w:r>
        <w:rPr>
          <w:rFonts w:ascii="Palatino Linotype" w:cs="Palatino Linotype" w:eastAsia="Palatino Linotype" w:hAnsi="Palatino Linotype"/>
          <w:sz w:val="22"/>
          <w:szCs w:val="22"/>
        </w:rPr>
        <w:t xml:space="preserve">Options are not derivative securities. They are direct measurements of the expectation field’s quantum state.</w:t>
      </w:r>
    </w:p>
    <w:p>
      <w:pPr>
        <w:pStyle w:val="ListParagraph"/>
        <w:numPr>
          <w:ilvl w:val="0"/>
          <w:numId w:val="2"/>
        </w:numPr>
        <w:spacing w:before="40" w:after="40"/>
      </w:pPr>
      <w:r>
        <w:rPr>
          <w:rFonts w:ascii="Palatino Linotype" w:cs="Palatino Linotype" w:eastAsia="Palatino Linotype" w:hAnsi="Palatino Linotype"/>
          <w:sz w:val="22"/>
          <w:szCs w:val="22"/>
        </w:rPr>
        <w:t xml:space="preserve">An options trader is not speculating on future prices. They are measuring and trading the quantum wavefunction of the collective expectation field.</w:t>
      </w:r>
    </w:p>
    <w:p>
      <w:pPr>
        <w:pStyle w:val="ListParagraph"/>
        <w:numPr>
          <w:ilvl w:val="0"/>
          <w:numId w:val="2"/>
        </w:numPr>
        <w:spacing w:before="40" w:after="40"/>
      </w:pPr>
      <w:r>
        <w:rPr>
          <w:rFonts w:ascii="Palatino Linotype" w:cs="Palatino Linotype" w:eastAsia="Palatino Linotype" w:hAnsi="Palatino Linotype"/>
          <w:sz w:val="22"/>
          <w:szCs w:val="22"/>
        </w:rPr>
        <w:t xml:space="preserve">Black-Scholes is the classical (Gaussian wavefunction) approximation of this quantum system. It fails in crises because the expectation field’s wavefunction becomes non-Gaussian when the condensate approaches a phase transition.</w:t>
      </w:r>
    </w:p>
    <w:p>
      <w:pPr>
        <w:pStyle w:val="ListParagraph"/>
        <w:numPr>
          <w:ilvl w:val="0"/>
          <w:numId w:val="2"/>
        </w:numPr>
        <w:spacing w:before="40" w:after="40"/>
      </w:pPr>
      <w:r>
        <w:rPr>
          <w:rFonts w:ascii="Palatino Linotype" w:cs="Palatino Linotype" w:eastAsia="Palatino Linotype" w:hAnsi="Palatino Linotype"/>
          <w:sz w:val="22"/>
          <w:szCs w:val="22"/>
        </w:rPr>
        <w:t xml:space="preserve">The volatility smile/skew is not an anomaly to be parametrised away. It is the direct measurement of the non-Gaussian shape of the expectation field wavefunction — its skewness encodes the asymmetry of the condensate’s grain structure.</w:t>
      </w:r>
    </w:p>
    <w:p>
      <w:pPr>
        <w:spacing w:before="60" w:after="60"/>
      </w:pPr>
    </w:p>
    <w:p>
      <w:pPr>
        <w:spacing w:before="100" w:after="100"/>
      </w:pPr>
      <w:r>
        <w:rPr>
          <w:rFonts w:ascii="Courier New" w:cs="Courier New" w:eastAsia="Courier New" w:hAnsi="Courier New"/>
          <w:color w:val="2A006A"/>
          <w:sz w:val="20"/>
          <w:szCs w:val="20"/>
        </w:rPr>
        <w:t xml:space="preserve">Correct pricing equation (CCDR):</w:t>
      </w:r>
    </w:p>
    <w:p>
      <w:pPr>
        <w:spacing w:before="100" w:after="100"/>
      </w:pPr>
      <w:r>
        <w:rPr>
          <w:rFonts w:ascii="Courier New" w:cs="Courier New" w:eastAsia="Courier New" w:hAnsi="Courier New"/>
          <w:color w:val="2A006A"/>
          <w:sz w:val="20"/>
          <w:szCs w:val="20"/>
        </w:rPr>
        <w:t xml:space="preserve">  V(K, T) = e^{-rT} × ∫ (S_T - K)⁺ × |ψ_exp(S_T, T)|² dS_T</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  where ψ_exp is determined by the expectation condensate dynamics,</w:t>
      </w:r>
    </w:p>
    <w:p>
      <w:pPr>
        <w:spacing w:before="100" w:after="100"/>
      </w:pPr>
      <w:r>
        <w:rPr>
          <w:rFonts w:ascii="Courier New" w:cs="Courier New" w:eastAsia="Courier New" w:hAnsi="Courier New"/>
          <w:color w:val="2A006A"/>
          <w:sz w:val="20"/>
          <w:szCs w:val="20"/>
        </w:rPr>
        <w:t xml:space="preserve">  NOT assumed to be log-normal</w:t>
      </w:r>
    </w:p>
    <w:p>
      <w:pPr>
        <w:spacing w:before="100" w:after="100"/>
      </w:pPr>
      <w:r>
        <w:rPr>
          <w:rFonts w:ascii="Courier New" w:cs="Courier New" w:eastAsia="Courier New" w:hAnsi="Courier New"/>
          <w:color w:val="2A006A"/>
          <w:sz w:val="20"/>
          <w:szCs w:val="20"/>
        </w:rPr>
        <w:t xml:space="preserve"/>
      </w:r>
    </w:p>
    <w:p>
      <w:pPr>
        <w:spacing w:before="100" w:after="100"/>
      </w:pPr>
      <w:r>
        <w:rPr>
          <w:rFonts w:ascii="Courier New" w:cs="Courier New" w:eastAsia="Courier New" w:hAnsi="Courier New"/>
          <w:color w:val="2A006A"/>
          <w:sz w:val="20"/>
          <w:szCs w:val="20"/>
        </w:rPr>
        <w:t xml:space="preserve">The vol surface is the measurement apparatus for ψ_exp.</w:t>
      </w:r>
    </w:p>
    <w:p>
      <w:pPr>
        <w:spacing w:before="100" w:after="100"/>
      </w:pPr>
      <w:r>
        <w:rPr>
          <w:rFonts w:ascii="Courier New" w:cs="Courier New" w:eastAsia="Courier New" w:hAnsi="Courier New"/>
          <w:color w:val="2A006A"/>
          <w:sz w:val="20"/>
          <w:szCs w:val="20"/>
        </w:rPr>
        <w:t xml:space="preserve">Changes in the vol surface = changes in the expectation condensate phase.</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8. The JNEOPALLIUM Architecture for Market Analysis</w:t>
      </w:r>
    </w:p>
    <w:p>
      <w:pPr>
        <w:spacing w:before="80" w:after="80"/>
      </w:pPr>
      <w:r>
        <w:rPr>
          <w:rFonts w:ascii="Palatino Linotype" w:cs="Palatino Linotype" w:eastAsia="Palatino Linotype" w:hAnsi="Palatino Linotype"/>
          <w:sz w:val="22"/>
          <w:szCs w:val="22"/>
        </w:rPr>
        <w:t xml:space="preserve">Given the expectation-primary reframing, the correct data priorities for a CCDR-based market analysis system invert the conventional order of importance:</w:t>
      </w:r>
    </w:p>
    <w:p>
      <w:pPr>
        <w:spacing w:before="60" w:after="60"/>
      </w:pPr>
    </w:p>
    <w:p>
      <w:pPr>
        <w:pStyle w:val="Heading2"/>
        <w:spacing w:before="240" w:after="80"/>
      </w:pPr>
      <w:r>
        <w:rPr>
          <w:rFonts w:ascii="Georgia" w:cs="Georgia" w:eastAsia="Georgia" w:hAnsi="Georgia"/>
          <w:b/>
          <w:bCs/>
          <w:color w:val="4A2080"/>
          <w:sz w:val="24"/>
          <w:szCs w:val="24"/>
        </w:rPr>
        <w:t xml:space="preserve">8.1 Primary Data Layer — The Expectation Field</w:t>
      </w:r>
    </w:p>
    <w:p>
      <w:pPr>
        <w:pStyle w:val="ListParagraph"/>
        <w:numPr>
          <w:ilvl w:val="0"/>
          <w:numId w:val="2"/>
        </w:numPr>
        <w:spacing w:before="40" w:after="40"/>
      </w:pPr>
      <w:r>
        <w:rPr>
          <w:rFonts w:ascii="Palatino Linotype" w:cs="Palatino Linotype" w:eastAsia="Palatino Linotype" w:hAnsi="Palatino Linotype"/>
          <w:sz w:val="22"/>
          <w:szCs w:val="22"/>
        </w:rPr>
        <w:t xml:space="preserve">Options implied volatility surface: direct measurement of ψ_exp (the expectation wavefunction). The vol surface IS the quantum state of the market.</w:t>
      </w:r>
    </w:p>
    <w:p>
      <w:pPr>
        <w:pStyle w:val="ListParagraph"/>
        <w:numPr>
          <w:ilvl w:val="0"/>
          <w:numId w:val="2"/>
        </w:numPr>
        <w:spacing w:before="40" w:after="40"/>
      </w:pPr>
      <w:r>
        <w:rPr>
          <w:rFonts w:ascii="Palatino Linotype" w:cs="Palatino Linotype" w:eastAsia="Palatino Linotype" w:hAnsi="Palatino Linotype"/>
          <w:sz w:val="22"/>
          <w:szCs w:val="22"/>
        </w:rPr>
        <w:t xml:space="preserve">Analyst forecast dispersion: measures the disorder parameter of the expectation condensate. High dispersion = approaching grain boundary. Low dispersion = deep within a stable grain.</w:t>
      </w:r>
    </w:p>
    <w:p>
      <w:pPr>
        <w:pStyle w:val="ListParagraph"/>
        <w:numPr>
          <w:ilvl w:val="0"/>
          <w:numId w:val="2"/>
        </w:numPr>
        <w:spacing w:before="40" w:after="40"/>
      </w:pPr>
      <w:r>
        <w:rPr>
          <w:rFonts w:ascii="Palatino Linotype" w:cs="Palatino Linotype" w:eastAsia="Palatino Linotype" w:hAnsi="Palatino Linotype"/>
          <w:sz w:val="22"/>
          <w:szCs w:val="22"/>
        </w:rPr>
        <w:t xml:space="preserve">Survey data (AAII, institutional surveys): measures the order parameter direction of the expectation condensate (bullish vs. bearish coherence).</w:t>
      </w:r>
    </w:p>
    <w:p>
      <w:pPr>
        <w:pStyle w:val="ListParagraph"/>
        <w:numPr>
          <w:ilvl w:val="0"/>
          <w:numId w:val="2"/>
        </w:numPr>
        <w:spacing w:before="40" w:after="40"/>
      </w:pPr>
      <w:r>
        <w:rPr>
          <w:rFonts w:ascii="Palatino Linotype" w:cs="Palatino Linotype" w:eastAsia="Palatino Linotype" w:hAnsi="Palatino Linotype"/>
          <w:sz w:val="22"/>
          <w:szCs w:val="22"/>
        </w:rPr>
        <w:t xml:space="preserve">Dark pool fraction: expectations refusing acoustic coupling. High dark pool fraction = large optical phonon sector building pressure below the gap threshold.</w:t>
      </w:r>
    </w:p>
    <w:p>
      <w:pPr>
        <w:pStyle w:val="ListParagraph"/>
        <w:numPr>
          <w:ilvl w:val="0"/>
          <w:numId w:val="2"/>
        </w:numPr>
        <w:spacing w:before="40" w:after="40"/>
      </w:pPr>
      <w:r>
        <w:rPr>
          <w:rFonts w:ascii="Palatino Linotype" w:cs="Palatino Linotype" w:eastAsia="Palatino Linotype" w:hAnsi="Palatino Linotype"/>
          <w:sz w:val="22"/>
          <w:szCs w:val="22"/>
        </w:rPr>
        <w:t xml:space="preserve">Options put/call ratio: chirality of the expectation condensate (which direction the symmetry is broken).</w:t>
      </w:r>
    </w:p>
    <w:p>
      <w:pPr>
        <w:pStyle w:val="ListParagraph"/>
        <w:numPr>
          <w:ilvl w:val="0"/>
          <w:numId w:val="2"/>
        </w:numPr>
        <w:spacing w:before="40" w:after="40"/>
      </w:pPr>
      <w:r>
        <w:rPr>
          <w:rFonts w:ascii="Palatino Linotype" w:cs="Palatino Linotype" w:eastAsia="Palatino Linotype" w:hAnsi="Palatino Linotype"/>
          <w:sz w:val="22"/>
          <w:szCs w:val="22"/>
        </w:rPr>
        <w:t xml:space="preserve">Yield curve shape: temporal structure of the expectation condensate (how expectations are distributed across time horizons).</w:t>
      </w:r>
    </w:p>
    <w:p>
      <w:pPr>
        <w:spacing w:before="60" w:after="60"/>
      </w:pPr>
    </w:p>
    <w:p>
      <w:pPr>
        <w:pStyle w:val="Heading2"/>
        <w:spacing w:before="240" w:after="80"/>
      </w:pPr>
      <w:r>
        <w:rPr>
          <w:rFonts w:ascii="Georgia" w:cs="Georgia" w:eastAsia="Georgia" w:hAnsi="Georgia"/>
          <w:b/>
          <w:bCs/>
          <w:color w:val="4A2080"/>
          <w:sz w:val="24"/>
          <w:szCs w:val="24"/>
        </w:rPr>
        <w:t xml:space="preserve">8.2 Secondary Data Layer — Acoustic Residue</w:t>
      </w:r>
    </w:p>
    <w:p>
      <w:pPr>
        <w:pStyle w:val="ListParagraph"/>
        <w:numPr>
          <w:ilvl w:val="0"/>
          <w:numId w:val="2"/>
        </w:numPr>
        <w:spacing w:before="40" w:after="40"/>
      </w:pPr>
      <w:r>
        <w:rPr>
          <w:rFonts w:ascii="Palatino Linotype" w:cs="Palatino Linotype" w:eastAsia="Palatino Linotype" w:hAnsi="Palatino Linotype"/>
          <w:sz w:val="22"/>
          <w:szCs w:val="22"/>
        </w:rPr>
        <w:t xml:space="preserve">Price time series: transactions = expectation collapses. Downstream, lagging signal.</w:t>
      </w:r>
    </w:p>
    <w:p>
      <w:pPr>
        <w:pStyle w:val="ListParagraph"/>
        <w:numPr>
          <w:ilvl w:val="0"/>
          <w:numId w:val="2"/>
        </w:numPr>
        <w:spacing w:before="40" w:after="40"/>
      </w:pPr>
      <w:r>
        <w:rPr>
          <w:rFonts w:ascii="Palatino Linotype" w:cs="Palatino Linotype" w:eastAsia="Palatino Linotype" w:hAnsi="Palatino Linotype"/>
          <w:sz w:val="22"/>
          <w:szCs w:val="22"/>
        </w:rPr>
        <w:t xml:space="preserve">Volume: coupling rate between expectation and price fields (how fast ψ_exp is being measured).</w:t>
      </w:r>
    </w:p>
    <w:p>
      <w:pPr>
        <w:pStyle w:val="ListParagraph"/>
        <w:numPr>
          <w:ilvl w:val="0"/>
          <w:numId w:val="2"/>
        </w:numPr>
        <w:spacing w:before="40" w:after="40"/>
      </w:pPr>
      <w:r>
        <w:rPr>
          <w:rFonts w:ascii="Palatino Linotype" w:cs="Palatino Linotype" w:eastAsia="Palatino Linotype" w:hAnsi="Palatino Linotype"/>
          <w:sz w:val="22"/>
          <w:szCs w:val="22"/>
        </w:rPr>
        <w:t xml:space="preserve">Bid-ask spreads: the acoustic-optical phonon gap width. Narrows when the gap is small (easy coupling); widens when the gap is large (expectations not translating to transactions).</w:t>
      </w:r>
    </w:p>
    <w:p>
      <w:pPr>
        <w:spacing w:before="60" w:after="60"/>
      </w:pPr>
    </w:p>
    <w:p>
      <w:pPr>
        <w:pStyle w:val="Heading2"/>
        <w:spacing w:before="240" w:after="80"/>
      </w:pPr>
      <w:r>
        <w:rPr>
          <w:rFonts w:ascii="Georgia" w:cs="Georgia" w:eastAsia="Georgia" w:hAnsi="Georgia"/>
          <w:b/>
          <w:bCs/>
          <w:color w:val="4A2080"/>
          <w:sz w:val="24"/>
          <w:szCs w:val="24"/>
        </w:rPr>
        <w:t xml:space="preserve">8.3 Model Layer — CCDR Condensate Dynamics</w:t>
      </w:r>
    </w:p>
    <w:p>
      <w:pPr>
        <w:pStyle w:val="ListParagraph"/>
        <w:numPr>
          <w:ilvl w:val="0"/>
          <w:numId w:val="2"/>
        </w:numPr>
        <w:spacing w:before="40" w:after="40"/>
      </w:pPr>
      <w:r>
        <w:rPr>
          <w:rFonts w:ascii="Palatino Linotype" w:cs="Palatino Linotype" w:eastAsia="Palatino Linotype" w:hAnsi="Palatino Linotype"/>
          <w:sz w:val="22"/>
          <w:szCs w:val="22"/>
        </w:rPr>
        <w:t xml:space="preserve">Expectation field wavefunction: reconstructed from options surface (full ψ_exp at each time horizon)</w:t>
      </w:r>
    </w:p>
    <w:p>
      <w:pPr>
        <w:pStyle w:val="ListParagraph"/>
        <w:numPr>
          <w:ilvl w:val="0"/>
          <w:numId w:val="2"/>
        </w:numPr>
        <w:spacing w:before="40" w:after="40"/>
      </w:pPr>
      <w:r>
        <w:rPr>
          <w:rFonts w:ascii="Palatino Linotype" w:cs="Palatino Linotype" w:eastAsia="Palatino Linotype" w:hAnsi="Palatino Linotype"/>
          <w:sz w:val="22"/>
          <w:szCs w:val="22"/>
        </w:rPr>
        <w:t xml:space="preserve">Condensate phase: determined from order parameter (survey net bullish) + disorder parameter (analyst dispersion)</w:t>
      </w:r>
    </w:p>
    <w:p>
      <w:pPr>
        <w:pStyle w:val="ListParagraph"/>
        <w:numPr>
          <w:ilvl w:val="0"/>
          <w:numId w:val="2"/>
        </w:numPr>
        <w:spacing w:before="40" w:after="40"/>
      </w:pPr>
      <w:r>
        <w:rPr>
          <w:rFonts w:ascii="Palatino Linotype" w:cs="Palatino Linotype" w:eastAsia="Palatino Linotype" w:hAnsi="Palatino Linotype"/>
          <w:sz w:val="22"/>
          <w:szCs w:val="22"/>
        </w:rPr>
        <w:t xml:space="preserve">Grain structure: narrative clustering in analyst reports and news flow</w:t>
      </w:r>
    </w:p>
    <w:p>
      <w:pPr>
        <w:pStyle w:val="ListParagraph"/>
        <w:numPr>
          <w:ilvl w:val="0"/>
          <w:numId w:val="2"/>
        </w:numPr>
        <w:spacing w:before="40" w:after="40"/>
      </w:pPr>
      <w:r>
        <w:rPr>
          <w:rFonts w:ascii="Palatino Linotype" w:cs="Palatino Linotype" w:eastAsia="Palatino Linotype" w:hAnsi="Palatino Linotype"/>
          <w:sz w:val="22"/>
          <w:szCs w:val="22"/>
        </w:rPr>
        <w:t xml:space="preserve">Grain boundary proximity: expectation dispersion spikes + correlation structure breaks</w:t>
      </w:r>
    </w:p>
    <w:p>
      <w:pPr>
        <w:pStyle w:val="ListParagraph"/>
        <w:numPr>
          <w:ilvl w:val="0"/>
          <w:numId w:val="2"/>
        </w:numPr>
        <w:spacing w:before="40" w:after="40"/>
      </w:pPr>
      <w:r>
        <w:rPr>
          <w:rFonts w:ascii="Palatino Linotype" w:cs="Palatino Linotype" w:eastAsia="Palatino Linotype" w:hAnsi="Palatino Linotype"/>
          <w:sz w:val="22"/>
          <w:szCs w:val="22"/>
        </w:rPr>
        <w:t xml:space="preserve">Holographic saturation level: D_eff of cross-asset correlation matrix (leading systemic risk gauge)</w:t>
      </w:r>
    </w:p>
    <w:p>
      <w:pPr>
        <w:pStyle w:val="ListParagraph"/>
        <w:numPr>
          <w:ilvl w:val="0"/>
          <w:numId w:val="2"/>
        </w:numPr>
        <w:spacing w:before="40" w:after="40"/>
      </w:pPr>
      <w:r>
        <w:rPr>
          <w:rFonts w:ascii="Palatino Linotype" w:cs="Palatino Linotype" w:eastAsia="Palatino Linotype" w:hAnsi="Palatino Linotype"/>
          <w:sz w:val="22"/>
          <w:szCs w:val="22"/>
        </w:rPr>
        <w:t xml:space="preserve">Phase transition precursors: D_eff decreasing + dispersion increasing simultaneously</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9. Testable Predictions</w:t>
      </w:r>
    </w:p>
    <w:p>
      <w:pPr>
        <w:spacing w:before="60" w:after="6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1900"/>
        <w:gridCol w:w="1600"/>
        <w:gridCol w:w="1800"/>
        <w:gridCol w:w="1700"/>
      </w:tblGrid>
      <w:tr>
        <w:trPr>
          <w:tblHeader/>
        </w:trPr>
        <w:tc>
          <w:tcPr>
            <w:tcW w:type="dxa" w:w="360"/>
            <w:tcBorders>
              <w:top w:val="single" w:color="4A2080" w:sz="1"/>
              <w:left w:val="single" w:color="4A2080" w:sz="1"/>
              <w:bottom w:val="single" w:color="4A2080" w:sz="1"/>
              <w:right w:val="single" w:color="4A2080" w:sz="1"/>
            </w:tcBorders>
            <w:shd w:fill="2A0860"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w:t>
            </w:r>
          </w:p>
        </w:tc>
        <w:tc>
          <w:tcPr>
            <w:tcW w:type="dxa" w:w="1900"/>
            <w:tcBorders>
              <w:top w:val="single" w:color="4A2080" w:sz="1"/>
              <w:left w:val="single" w:color="4A2080" w:sz="1"/>
              <w:bottom w:val="single" w:color="4A2080" w:sz="1"/>
              <w:right w:val="single" w:color="4A2080" w:sz="1"/>
            </w:tcBorders>
            <w:shd w:fill="2A0860"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Prediction</w:t>
            </w:r>
          </w:p>
        </w:tc>
        <w:tc>
          <w:tcPr>
            <w:tcW w:type="dxa" w:w="1600"/>
            <w:tcBorders>
              <w:top w:val="single" w:color="4A2080" w:sz="1"/>
              <w:left w:val="single" w:color="4A2080" w:sz="1"/>
              <w:bottom w:val="single" w:color="4A2080" w:sz="1"/>
              <w:right w:val="single" w:color="4A2080" w:sz="1"/>
            </w:tcBorders>
            <w:shd w:fill="2A0860"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Standard Finance</w:t>
            </w:r>
          </w:p>
        </w:tc>
        <w:tc>
          <w:tcPr>
            <w:tcW w:type="dxa" w:w="1800"/>
            <w:tcBorders>
              <w:top w:val="single" w:color="4A2080" w:sz="1"/>
              <w:left w:val="single" w:color="4A2080" w:sz="1"/>
              <w:bottom w:val="single" w:color="4A2080" w:sz="1"/>
              <w:right w:val="single" w:color="4A2080" w:sz="1"/>
            </w:tcBorders>
            <w:shd w:fill="2A0860"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CCDR</w:t>
            </w:r>
          </w:p>
        </w:tc>
        <w:tc>
          <w:tcPr>
            <w:tcW w:type="dxa" w:w="1700"/>
            <w:tcBorders>
              <w:top w:val="single" w:color="4A2080" w:sz="1"/>
              <w:left w:val="single" w:color="4A2080" w:sz="1"/>
              <w:bottom w:val="single" w:color="4A2080" w:sz="1"/>
              <w:right w:val="single" w:color="4A2080" w:sz="1"/>
            </w:tcBorders>
            <w:shd w:fill="2A0860"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Measurement</w:t>
            </w:r>
          </w:p>
        </w:tc>
      </w:tr>
      <w:tr>
        <w:tc>
          <w:tcPr>
            <w:tcW w:type="dxa" w:w="36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T1</w:t>
            </w:r>
          </w:p>
        </w:tc>
        <w:tc>
          <w:tcPr>
            <w:tcW w:type="dxa" w:w="19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Options vol surface changes lead price changes</w:t>
            </w:r>
          </w:p>
        </w:tc>
        <w:tc>
          <w:tcPr>
            <w:tcW w:type="dxa" w:w="16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Vol surface is contemporaneous with price</w:t>
            </w:r>
          </w:p>
        </w:tc>
        <w:tc>
          <w:tcPr>
            <w:tcW w:type="dxa" w:w="18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Vol surface changes measure expectation condensate restructuring before it reaches prices</w:t>
            </w:r>
          </w:p>
        </w:tc>
        <w:tc>
          <w:tcPr>
            <w:tcW w:type="dxa" w:w="17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Granger causality: vol surface → price, not price → vol surface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T2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Analyst dispersion is leading indicator of regime change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Dispersion is risk measure, concurrent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Dispersion = condensate disorder parameter, precedes grain boundary crossings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Dispersion peak → subsequent regime change; test against NBER recession dates</w:t>
            </w:r>
          </w:p>
        </w:tc>
      </w:tr>
      <w:tr>
        <w:tc>
          <w:tcPr>
            <w:tcW w:type="dxa" w:w="36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T3</w:t>
            </w:r>
          </w:p>
        </w:tc>
        <w:tc>
          <w:tcPr>
            <w:tcW w:type="dxa" w:w="19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Momentum crashes are abrupt, not gradual</w:t>
            </w:r>
          </w:p>
        </w:tc>
        <w:tc>
          <w:tcPr>
            <w:tcW w:type="dxa" w:w="16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Momentum crashes are large but distributional</w:t>
            </w:r>
          </w:p>
        </w:tc>
        <w:tc>
          <w:tcPr>
            <w:tcW w:type="dxa" w:w="18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Soliton collapse is discontinuous at grain boundary</w:t>
            </w:r>
          </w:p>
        </w:tc>
        <w:tc>
          <w:tcPr>
            <w:tcW w:type="dxa" w:w="17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Bimodal distribution of momentum strategy drawdown rate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T4</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D_eff decrease precedes market crashes by weeks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Correlation increase is concurrent with volatility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Holographic saturation builds before cascade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D_eff 60-day lead time vs. VIX spike; historical backtests across crises</w:t>
            </w:r>
          </w:p>
        </w:tc>
      </w:tr>
      <w:tr>
        <w:tc>
          <w:tcPr>
            <w:tcW w:type="dxa" w:w="36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T5</w:t>
            </w:r>
          </w:p>
        </w:tc>
        <w:tc>
          <w:tcPr>
            <w:tcW w:type="dxa" w:w="19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Dark pool fraction predicts subsequent price impact</w:t>
            </w:r>
          </w:p>
        </w:tc>
        <w:tc>
          <w:tcPr>
            <w:tcW w:type="dxa" w:w="16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Dark pool is execution venue only</w:t>
            </w:r>
          </w:p>
        </w:tc>
        <w:tc>
          <w:tcPr>
            <w:tcW w:type="dxa" w:w="18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Dark pool = optical phonon sector accumulation below gap threshold</w:t>
            </w:r>
          </w:p>
        </w:tc>
        <w:tc>
          <w:tcPr>
            <w:tcW w:type="dxa" w:w="17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Dark pool fraction at t predicts price impact direction at t+Δt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T6</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Equity risk premium oscillates with business cycle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Premium is approximately constant or risk-driven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Premium = temporal crystal zero-point energy; oscillates with condensate period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Rolling equity premium vs. business cycle phase; 3-7 yr spectral peak</w:t>
            </w:r>
          </w:p>
        </w:tc>
      </w:tr>
      <w:tr>
        <w:tc>
          <w:tcPr>
            <w:tcW w:type="dxa" w:w="36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T7</w:t>
            </w:r>
          </w:p>
        </w:tc>
        <w:tc>
          <w:tcPr>
            <w:tcW w:type="dxa" w:w="19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Technical levels survive participant turnover</w:t>
            </w:r>
          </w:p>
        </w:tc>
        <w:tc>
          <w:tcPr>
            <w:tcW w:type="dxa" w:w="16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Levels are self-fulfilling; should decay</w:t>
            </w:r>
          </w:p>
        </w:tc>
        <w:tc>
          <w:tcPr>
            <w:tcW w:type="dxa" w:w="18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Levels are topological defects; independent rediscovery</w:t>
            </w:r>
          </w:p>
        </w:tc>
        <w:tc>
          <w:tcPr>
            <w:tcW w:type="dxa" w:w="17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Natural experiment: levels persist through market structure changes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T8</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Vol smile skew encodes condensate chirality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Skew is supply/demand for puts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Skew = asymmetry of ψ_exp; negative skew = bearish condensate chirality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8"/>
                <w:szCs w:val="18"/>
              </w:rPr>
              <w:t xml:space="preserve">Skew sign predicts direction of next grain boundary crossing</w:t>
            </w:r>
          </w:p>
        </w:tc>
      </w:tr>
      <w:tr>
        <w:tc>
          <w:tcPr>
            <w:tcW w:type="dxa" w:w="36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T9</w:t>
            </w:r>
          </w:p>
        </w:tc>
        <w:tc>
          <w:tcPr>
            <w:tcW w:type="dxa" w:w="19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Post-earnings drift ∝ analyst revision dispersion</w:t>
            </w:r>
          </w:p>
        </w:tc>
        <w:tc>
          <w:tcPr>
            <w:tcW w:type="dxa" w:w="16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Drift is underreaction magnitude</w:t>
            </w:r>
          </w:p>
        </w:tc>
        <w:tc>
          <w:tcPr>
            <w:tcW w:type="dxa" w:w="18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Drift = partial condensate relaxation; scale set by grain reconfiguration</w:t>
            </w:r>
          </w:p>
        </w:tc>
        <w:tc>
          <w:tcPr>
            <w:tcW w:type="dxa" w:w="1700"/>
            <w:tcBorders>
              <w:top w:val="single" w:color="CCCCCC" w:sz="1"/>
              <w:left w:val="single" w:color="CCCCCC" w:sz="1"/>
              <w:bottom w:val="single" w:color="CCCCCC" w:sz="1"/>
              <w:right w:val="single" w:color="CCCCCC" w:sz="1"/>
            </w:tcBorders>
            <w:shd w:fill="F0EBF8" w:val="clear"/>
            <w:tcMar>
              <w:top w:type="dxa" w:w="60"/>
              <w:left w:type="dxa" w:w="120"/>
              <w:bottom w:type="dxa" w:w="60"/>
              <w:right w:type="dxa" w:w="120"/>
            </w:tcMar>
          </w:tcPr>
          <w:p>
            <w:r>
              <w:rPr>
                <w:rFonts w:ascii="Palatino Linotype" w:cs="Palatino Linotype" w:eastAsia="Palatino Linotype" w:hAnsi="Palatino Linotype"/>
                <w:sz w:val="18"/>
                <w:szCs w:val="18"/>
              </w:rPr>
              <w:t xml:space="preserve">Cross-sectional: dispersion of earnings surprise × drift duration relationship</w:t>
            </w:r>
          </w:p>
        </w:tc>
      </w:tr>
    </w:tbl>
    <w:p>
      <w:pPr>
        <w:spacing w:before="60" w:after="60"/>
      </w:pP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10. Limitations</w:t>
      </w:r>
    </w:p>
    <w:p>
      <w:pPr>
        <w:spacing w:before="80" w:after="80"/>
      </w:pPr>
      <w:r>
        <w:rPr>
          <w:rFonts w:ascii="Palatino Linotype" w:cs="Palatino Linotype" w:eastAsia="Palatino Linotype" w:hAnsi="Palatino Linotype"/>
          <w:sz w:val="22"/>
          <w:szCs w:val="22"/>
        </w:rPr>
        <w:t xml:space="preserve">The expectation-primary reframing strengthens CCDR’s applicability to markets but does not eliminate the fundamental limitations identified previously.</w:t>
      </w:r>
    </w:p>
    <w:p>
      <w:pPr>
        <w:spacing w:before="60" w:after="60"/>
      </w:pPr>
    </w:p>
    <w:p>
      <w:pPr>
        <w:pStyle w:val="ListParagraph"/>
        <w:numPr>
          <w:ilvl w:val="0"/>
          <w:numId w:val="2"/>
        </w:numPr>
        <w:spacing w:before="40" w:after="40"/>
      </w:pPr>
      <w:r>
        <w:rPr>
          <w:rFonts w:ascii="Palatino Linotype" w:cs="Palatino Linotype" w:eastAsia="Palatino Linotype" w:hAnsi="Palatino Linotype"/>
          <w:sz w:val="22"/>
          <w:szCs w:val="22"/>
        </w:rPr>
        <w:t xml:space="preserve">CCDR is not a validated physical theory. Applying it to markets means working at double speculation — speculative physics applied to a social system that physics was not designed to describe.</w:t>
      </w:r>
    </w:p>
    <w:p>
      <w:pPr>
        <w:pStyle w:val="ListParagraph"/>
        <w:numPr>
          <w:ilvl w:val="0"/>
          <w:numId w:val="2"/>
        </w:numPr>
        <w:spacing w:before="40" w:after="40"/>
      </w:pPr>
      <w:r>
        <w:rPr>
          <w:rFonts w:ascii="Palatino Linotype" w:cs="Palatino Linotype" w:eastAsia="Palatino Linotype" w:hAnsi="Palatino Linotype"/>
          <w:sz w:val="22"/>
          <w:szCs w:val="22"/>
        </w:rPr>
        <w:t xml:space="preserve">Markets are designed, not natural. The expectation condensate of a market can be reset by regulatory action, circuit breakers, or market structure changes overnight. Physical condensates do not have this property.</w:t>
      </w:r>
    </w:p>
    <w:p>
      <w:pPr>
        <w:pStyle w:val="ListParagraph"/>
        <w:numPr>
          <w:ilvl w:val="0"/>
          <w:numId w:val="2"/>
        </w:numPr>
        <w:spacing w:before="40" w:after="40"/>
      </w:pPr>
      <w:r>
        <w:rPr>
          <w:rFonts w:ascii="Palatino Linotype" w:cs="Palatino Linotype" w:eastAsia="Palatino Linotype" w:hAnsi="Palatino Linotype"/>
          <w:sz w:val="22"/>
          <w:szCs w:val="22"/>
        </w:rPr>
        <w:t xml:space="preserve">The measurement problem is severe. Reconstructing ψ_exp from the options surface requires model assumptions that may embed the same errors as the models being replaced.</w:t>
      </w:r>
    </w:p>
    <w:p>
      <w:pPr>
        <w:pStyle w:val="ListParagraph"/>
        <w:numPr>
          <w:ilvl w:val="0"/>
          <w:numId w:val="2"/>
        </w:numPr>
        <w:spacing w:before="40" w:after="40"/>
      </w:pPr>
      <w:r>
        <w:rPr>
          <w:rFonts w:ascii="Palatino Linotype" w:cs="Palatino Linotype" w:eastAsia="Palatino Linotype" w:hAnsi="Palatino Linotype"/>
          <w:sz w:val="22"/>
          <w:szCs w:val="22"/>
        </w:rPr>
        <w:t xml:space="preserve">The best physics in finance has failed catastrophically before. The reframing does not grant immunity from the map-territory gap.</w:t>
      </w:r>
    </w:p>
    <w:p>
      <w:pPr>
        <w:pStyle w:val="ListParagraph"/>
        <w:numPr>
          <w:ilvl w:val="0"/>
          <w:numId w:val="2"/>
        </w:numPr>
        <w:spacing w:before="40" w:after="40"/>
      </w:pPr>
      <w:r>
        <w:rPr>
          <w:rFonts w:ascii="Palatino Linotype" w:cs="Palatino Linotype" w:eastAsia="Palatino Linotype" w:hAnsi="Palatino Linotype"/>
          <w:sz w:val="22"/>
          <w:szCs w:val="22"/>
        </w:rPr>
        <w:t xml:space="preserve">All nine predictions require empirical validation before any trading system should be built. The framework provides hypotheses, not guarantees.</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11. Conclusion</w:t>
      </w:r>
    </w:p>
    <w:p>
      <w:pPr>
        <w:spacing w:before="80" w:after="80"/>
      </w:pPr>
      <w:r>
        <w:rPr>
          <w:rFonts w:ascii="Palatino Linotype" w:cs="Palatino Linotype" w:eastAsia="Palatino Linotype" w:hAnsi="Palatino Linotype"/>
          <w:sz w:val="22"/>
          <w:szCs w:val="22"/>
        </w:rPr>
        <w:t xml:space="preserve">The key insight: when markets are correctly understood as trading the expectation field rather than physical goods, the CCDR framework ceases to be an analogy and becomes the natural theoretical home for market analysis. The expectation field is an optical phonon field. Physical transactions are its acoustic residue. Price formation is quantum measurement. Options are direct wavefunction measurements. Crashes are holographic saturation events. Regimes are condensate grains. Regime changes are grain boundary crossings. The equity risk premium is the zero-point energy of the market’s temporal crystal.</w:t>
      </w:r>
    </w:p>
    <w:p>
      <w:pPr>
        <w:spacing w:before="60" w:after="60"/>
      </w:pPr>
    </w:p>
    <w:p>
      <w:pPr>
        <w:spacing w:before="80" w:after="80"/>
      </w:pPr>
      <w:r>
        <w:rPr>
          <w:rFonts w:ascii="Palatino Linotype" w:cs="Palatino Linotype" w:eastAsia="Palatino Linotype" w:hAnsi="Palatino Linotype"/>
          <w:sz w:val="22"/>
          <w:szCs w:val="22"/>
        </w:rPr>
        <w:t xml:space="preserve">The JNEOPALLIUM implementation priority should be inverted from conventional quant finance: options surface data comes first, analyst dispersion second, D_eff third, and traditional price/volume data fourth. The acoustic residue is not the primary signal — it is the downstream consequence of the optical primary that is already fully observable in the expectation field data.</w:t>
      </w:r>
    </w:p>
    <w:p>
      <w:pPr>
        <w:spacing w:before="60" w:after="60"/>
      </w:pPr>
    </w:p>
    <w:p>
      <w:pPr>
        <w:spacing w:before="80" w:after="80"/>
      </w:pPr>
      <w:r>
        <w:rPr>
          <w:rFonts w:ascii="Palatino Linotype" w:cs="Palatino Linotype" w:eastAsia="Palatino Linotype" w:hAnsi="Palatino Linotype"/>
          <w:sz w:val="22"/>
          <w:szCs w:val="22"/>
        </w:rPr>
        <w:t xml:space="preserve">The market is not a price process with information shocks. It is an expectation condensate undergoing continuous quantum measurement, phase transitions, and topological restructuring. CCDR provides the framework for all three.</w:t>
      </w:r>
    </w:p>
    <w:p>
      <w:pPr>
        <w:pBdr>
          <w:bottom w:val="single" w:color="4A2080" w:sz="4" w:space="1"/>
        </w:pBdr>
        <w:spacing w:before="120" w:after="120"/>
      </w:pPr>
    </w:p>
    <w:p>
      <w:pPr>
        <w:pStyle w:val="Heading1"/>
        <w:spacing w:before="320" w:after="120"/>
      </w:pPr>
      <w:r>
        <w:rPr>
          <w:rFonts w:ascii="Georgia" w:cs="Georgia" w:eastAsia="Georgia" w:hAnsi="Georgia"/>
          <w:b/>
          <w:bCs/>
          <w:color w:val="2A0860"/>
          <w:sz w:val="30"/>
          <w:szCs w:val="30"/>
        </w:rPr>
        <w:t xml:space="preserve">References</w:t>
      </w:r>
    </w:p>
    <w:p>
      <w:pPr>
        <w:spacing w:before="80" w:after="80"/>
      </w:pPr>
      <w:r>
        <w:rPr>
          <w:rFonts w:ascii="Palatino Linotype" w:cs="Palatino Linotype" w:eastAsia="Palatino Linotype" w:hAnsi="Palatino Linotype"/>
          <w:sz w:val="22"/>
          <w:szCs w:val="22"/>
        </w:rPr>
        <w:t xml:space="preserve">[1] Rakovskyi, D. (2026). CCDR Version 6. IJSR SR24703042047. github.com/rakovpublic/jneopallium.</w:t>
      </w:r>
    </w:p>
    <w:p>
      <w:pPr>
        <w:spacing w:before="80" w:after="80"/>
      </w:pPr>
      <w:r>
        <w:rPr>
          <w:rFonts w:ascii="Palatino Linotype" w:cs="Palatino Linotype" w:eastAsia="Palatino Linotype" w:hAnsi="Palatino Linotype"/>
          <w:sz w:val="22"/>
          <w:szCs w:val="22"/>
        </w:rPr>
        <w:t xml:space="preserve">[2] Black, F. &amp; Scholes, M. (1973). The pricing of options and corporate liabilities. J. Polit. Econ. 81, 637.</w:t>
      </w:r>
    </w:p>
    <w:p>
      <w:pPr>
        <w:spacing w:before="80" w:after="80"/>
      </w:pPr>
      <w:r>
        <w:rPr>
          <w:rFonts w:ascii="Palatino Linotype" w:cs="Palatino Linotype" w:eastAsia="Palatino Linotype" w:hAnsi="Palatino Linotype"/>
          <w:sz w:val="22"/>
          <w:szCs w:val="22"/>
        </w:rPr>
        <w:t xml:space="preserve">[3] Fama, E.F. (1970). Efficient capital markets: a review of theory and evidence. J. Finance 25, 383.</w:t>
      </w:r>
    </w:p>
    <w:p>
      <w:pPr>
        <w:spacing w:before="80" w:after="80"/>
      </w:pPr>
      <w:r>
        <w:rPr>
          <w:rFonts w:ascii="Palatino Linotype" w:cs="Palatino Linotype" w:eastAsia="Palatino Linotype" w:hAnsi="Palatino Linotype"/>
          <w:sz w:val="22"/>
          <w:szCs w:val="22"/>
        </w:rPr>
        <w:t xml:space="preserve">[4] Jegadeesh, N. &amp; Titman, S. (1993). Returns to buying winners and selling losers. J. Finance 48, 65.</w:t>
      </w:r>
    </w:p>
    <w:p>
      <w:pPr>
        <w:spacing w:before="80" w:after="80"/>
      </w:pPr>
      <w:r>
        <w:rPr>
          <w:rFonts w:ascii="Palatino Linotype" w:cs="Palatino Linotype" w:eastAsia="Palatino Linotype" w:hAnsi="Palatino Linotype"/>
          <w:sz w:val="22"/>
          <w:szCs w:val="22"/>
        </w:rPr>
        <w:t xml:space="preserve">[5] Daniel, K. &amp; Moskowitz, T.J. (2016). Momentum crashes. J. Financ. Econ. 122, 221.</w:t>
      </w:r>
    </w:p>
    <w:p>
      <w:pPr>
        <w:spacing w:before="80" w:after="80"/>
      </w:pPr>
      <w:r>
        <w:rPr>
          <w:rFonts w:ascii="Palatino Linotype" w:cs="Palatino Linotype" w:eastAsia="Palatino Linotype" w:hAnsi="Palatino Linotype"/>
          <w:sz w:val="22"/>
          <w:szCs w:val="22"/>
        </w:rPr>
        <w:t xml:space="preserve">[6] Mehra, R. &amp; Prescott, E.C. (1985). The equity premium: a puzzle. J. Monet. Econ. 15, 145.</w:t>
      </w:r>
    </w:p>
    <w:p>
      <w:pPr>
        <w:spacing w:before="80" w:after="80"/>
      </w:pPr>
      <w:r>
        <w:rPr>
          <w:rFonts w:ascii="Palatino Linotype" w:cs="Palatino Linotype" w:eastAsia="Palatino Linotype" w:hAnsi="Palatino Linotype"/>
          <w:sz w:val="22"/>
          <w:szCs w:val="22"/>
        </w:rPr>
        <w:t xml:space="preserve">[7] Ball, R. &amp; Brown, P. (1968). An empirical evaluation of accounting income numbers. J. Account. Res. 6, 159.</w:t>
      </w:r>
    </w:p>
    <w:p>
      <w:pPr>
        <w:spacing w:before="80" w:after="80"/>
      </w:pPr>
      <w:r>
        <w:rPr>
          <w:rFonts w:ascii="Palatino Linotype" w:cs="Palatino Linotype" w:eastAsia="Palatino Linotype" w:hAnsi="Palatino Linotype"/>
          <w:sz w:val="22"/>
          <w:szCs w:val="22"/>
        </w:rPr>
        <w:t xml:space="preserve">[8] Mantegna, R.N. &amp; Stanley, H.E. (1999). Introduction to Econophysics. Cambridge UP.</w:t>
      </w:r>
    </w:p>
    <w:p>
      <w:pPr>
        <w:spacing w:before="80" w:after="80"/>
      </w:pPr>
      <w:r>
        <w:rPr>
          <w:rFonts w:ascii="Palatino Linotype" w:cs="Palatino Linotype" w:eastAsia="Palatino Linotype" w:hAnsi="Palatino Linotype"/>
          <w:sz w:val="22"/>
          <w:szCs w:val="22"/>
        </w:rPr>
        <w:t xml:space="preserve">[9] Barroso, P. &amp; Santa-Clara, P. (2015). Momentum has its moments. J. Financ. Econ. 116, 111.</w:t>
      </w:r>
    </w:p>
    <w:p>
      <w:pPr>
        <w:spacing w:before="80" w:after="80"/>
      </w:pPr>
      <w:r>
        <w:rPr>
          <w:rFonts w:ascii="Palatino Linotype" w:cs="Palatino Linotype" w:eastAsia="Palatino Linotype" w:hAnsi="Palatino Linotype"/>
          <w:sz w:val="22"/>
          <w:szCs w:val="22"/>
        </w:rPr>
        <w:t xml:space="preserve">[10] Orrell, D. (2020). Quantum Economics and Finance. Palgrave Macmillan.</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888888"/>
        <w:sz w:val="18"/>
        <w:szCs w:val="18"/>
      </w:rPr>
      <w:t xml:space="preserve">CCDR &amp; Markets: The Expectation Field · Rakovskyi 2026 · Page </w:t>
    </w:r>
    <w:r>
      <w:rPr>
        <w:rFonts w:ascii="Palatino Linotype" w:cs="Palatino Linotype" w:eastAsia="Palatino Linotype" w:hAnsi="Palatino Linotype"/>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Georgia" w:cs="Georgia" w:eastAsia="Georgia" w:hAnsi="Georgia"/>
      <w:b/>
      <w:bCs/>
      <w:color w:val="2A0860"/>
      <w:sz w:val="30"/>
      <w:szCs w:val="30"/>
    </w:rPr>
  </w:style>
  <w:style w:type="paragraph" w:styleId="Heading2">
    <w:name w:val="Heading 2"/>
    <w:basedOn w:val="Normal"/>
    <w:next w:val="Normal"/>
    <w:qFormat/>
    <w:pPr>
      <w:spacing w:before="240" w:after="80"/>
      <w:outlineLvl w:val="1"/>
    </w:pPr>
    <w:rPr>
      <w:rFonts w:ascii="Georgia" w:cs="Georgia" w:eastAsia="Georgia" w:hAnsi="Georgia"/>
      <w:b/>
      <w:bCs/>
      <w:color w:val="4A2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2026-03-19T18:10:38.400Z</dcterms:created>
  <dcterms:modified xsi:type="dcterms:W3CDTF">2026-03-19T18:10:38.401Z</dcterms:modified>
</cp:coreProperties>
</file>

<file path=docProps/custom.xml><?xml version="1.0" encoding="utf-8"?>
<Properties xmlns="http://schemas.openxmlformats.org/officeDocument/2006/custom-properties" xmlns:vt="http://schemas.openxmlformats.org/officeDocument/2006/docPropsVTypes"/>
</file>