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4"/>
        <w:ind w:left="1403" w:right="1365"/>
        <w:jc w:val="center"/>
        <w:rPr>
          <w:rFonts w:ascii="Liberation Sans"/>
        </w:rPr>
      </w:pPr>
      <w:r>
        <w:rPr>
          <w:rFonts w:ascii="Liberation Sans"/>
          <w:color w:val="0000FF"/>
        </w:rPr>
        <w:t>Case 1:23-cv-01599 Document 8-2 Filed 06/06/23 Page 2 of 67</w:t>
      </w:r>
    </w:p>
    <w:p>
      <w:pPr>
        <w:pStyle w:val="BodyText"/>
        <w:rPr>
          <w:rFonts w:ascii="Liberation Sans"/>
          <w:sz w:val="20"/>
        </w:rPr>
      </w:pPr>
    </w:p>
    <w:p>
      <w:pPr>
        <w:pStyle w:val="BodyText"/>
        <w:rPr>
          <w:rFonts w:ascii="Liberation Sans"/>
          <w:sz w:val="20"/>
        </w:rPr>
      </w:pPr>
    </w:p>
    <w:p>
      <w:pPr>
        <w:pStyle w:val="BodyText"/>
        <w:rPr>
          <w:rFonts w:ascii="Liberation Sans"/>
          <w:sz w:val="20"/>
        </w:rPr>
      </w:pPr>
    </w:p>
    <w:p>
      <w:pPr>
        <w:pStyle w:val="BodyText"/>
        <w:spacing w:before="7"/>
        <w:rPr>
          <w:rFonts w:ascii="Liberation Sans"/>
          <w:sz w:val="21"/>
        </w:rPr>
      </w:pPr>
    </w:p>
    <w:p>
      <w:pPr>
        <w:pStyle w:val="Title"/>
        <w:rPr>
          <w:u w:val="none"/>
        </w:rPr>
      </w:pPr>
      <w:r>
        <w:rPr>
          <w:u w:val="thick"/>
        </w:rPr>
        <w:t>PRELIMINARY STATEMENT</w:t>
      </w:r>
    </w:p>
    <w:p>
      <w:pPr>
        <w:pStyle w:val="BodyText"/>
        <w:spacing w:before="2"/>
        <w:rPr>
          <w:b/>
          <w:sz w:val="16"/>
        </w:rPr>
      </w:pPr>
    </w:p>
    <w:p>
      <w:pPr>
        <w:pStyle w:val="BodyText"/>
        <w:spacing w:line="480" w:lineRule="auto" w:before="90"/>
        <w:ind w:left="119" w:right="116" w:firstLine="720"/>
      </w:pPr>
      <w:r>
        <w:rPr/>
        <w:t>Plaintiff U.S. Securities and Exchange Commission (“SEC”) respectfully requests that the Court enter a temporary restraining order that maintains the status quo, provides assurances regarding the safety of U.S. investor assets, and preserves the availability of funds should the SEC prevail on the merits in this action. Specifically, the SEC asks the Court to exercise its equitable powers to enter a tailored order requiring Defendants Binance Holdings Limited (“Binance”), BAM Trading Services Inc. (“BAM Trading”), BAM Management US Holdings Inc. (“BAM Management”), and Changpeng Zhao (“Zhao”) to, </w:t>
      </w:r>
      <w:r>
        <w:rPr>
          <w:i/>
        </w:rPr>
        <w:t>inter alia</w:t>
      </w:r>
      <w:r>
        <w:rPr/>
        <w:t>, (i) repatriate and freeze the company assets of BAM Management and BAM Trading; (ii) repatriate BAM</w:t>
      </w:r>
      <w:r>
        <w:rPr>
          <w:spacing w:val="-22"/>
        </w:rPr>
        <w:t> </w:t>
      </w:r>
      <w:r>
        <w:rPr/>
        <w:t>Trading customer assets, comply with specified relief concerning the custody and control of customer assets, and refrain from transferring them other than in the ordinary course of business, provided such ordinary course transfers are not made to any entity or person affiliated with Binance or Zhao; (iii) provide an accounting, not destroy or otherwise alter or conceal relevant documents and information, and engage in expedited discovery; and (iv) show cause why certain relief should not continue. The SEC also seeks the Court’s permission to serve Defendants Binance and Zhao via alternative</w:t>
      </w:r>
      <w:r>
        <w:rPr>
          <w:spacing w:val="-1"/>
        </w:rPr>
        <w:t> </w:t>
      </w:r>
      <w:r>
        <w:rPr/>
        <w:t>means.</w:t>
      </w:r>
    </w:p>
    <w:p>
      <w:pPr>
        <w:pStyle w:val="BodyText"/>
        <w:spacing w:line="480" w:lineRule="auto" w:before="1"/>
        <w:ind w:left="119" w:right="376" w:firstLine="720"/>
      </w:pPr>
      <w:r>
        <w:rPr/>
        <w:t>The SEC has just filed a complaint raising serious allegations that Defendants have for years provided illegal platforms to offer and sell crypto asset securities to U.S. investors, and unregistered broker and clearing services. Defendants knew that their conduct with respect to</w:t>
      </w:r>
    </w:p>
    <w:p>
      <w:pPr>
        <w:pStyle w:val="BodyText"/>
        <w:spacing w:line="480" w:lineRule="auto"/>
        <w:ind w:left="119" w:right="183"/>
      </w:pPr>
      <w:r>
        <w:rPr/>
        <w:t>U.S. investors was illegal and risked U.S. government enforcement actions. Instead of ceasing such illegal activity, Zhao and Binance doubled down. They engaged in a detailed plan to tell the world that U.S. investors were no longer able to trade on the Binance.com Platform (defined below), while creating a new platform in the United States that would (1) feign compliance with</w:t>
      </w:r>
    </w:p>
    <w:p>
      <w:pPr>
        <w:pStyle w:val="BodyText"/>
        <w:spacing w:before="9"/>
        <w:rPr>
          <w:sz w:val="29"/>
        </w:rPr>
      </w:pPr>
    </w:p>
    <w:p>
      <w:pPr>
        <w:pStyle w:val="BodyText"/>
        <w:spacing w:before="90"/>
        <w:ind w:left="40"/>
        <w:jc w:val="center"/>
      </w:pPr>
      <w:r>
        <w:rPr/>
        <w:t>2</w:t>
      </w:r>
    </w:p>
    <w:sectPr>
      <w:type w:val="continuous"/>
      <w:pgSz w:w="12240" w:h="15840"/>
      <w:pgMar w:top="160" w:bottom="280" w:left="13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1401" w:right="1365"/>
      <w:jc w:val="center"/>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2023-06-12T19:19:52Z</dcterms:created>
  <dcterms:modified xsi:type="dcterms:W3CDTF">2023-06-12T19:19:52Z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2023-06-12T00:00:00Z</vt:filetime>
  </property>
</Properties>
</file>