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Enterprise Transformation Strategy 2026</w:t>
      </w:r>
    </w:p>
    <w:p>
      <w:r>
        <w:t>Author: Strategic Operations Team | Date: September 2026</w:t>
      </w:r>
    </w:p>
    <w:p>
      <w:pPr>
        <w:pStyle w:val="Heading1"/>
      </w:pPr>
      <w:r>
        <w:t>1. Executive Vision</w:t>
      </w:r>
    </w:p>
    <w:p>
      <w:r>
        <w:t>The goal of ContentAI is to empower enterprise teams to transform raw unstructured documents into auditable, source-grounded intelligence. Traditional LLM deployments suffer from hallucination risks. ContentAI mitigates this by extracting atomic factual claims and searching original document chunks for evidence.</w:t>
      </w:r>
    </w:p>
    <w:p>
      <w:pPr>
        <w:pStyle w:val="Heading1"/>
      </w:pPr>
      <w:r>
        <w:t>2. Key Transformation Pipelines</w:t>
      </w:r>
    </w:p>
    <w:p>
      <w:r>
        <w:t>- Executive Summaries: Structured briefing covering high-level takeaways.</w:t>
      </w:r>
    </w:p>
    <w:p>
      <w:r>
        <w:t>- FAQ Generation: Automated question-and-answer pairs grounded in document chunks.</w:t>
      </w:r>
    </w:p>
    <w:p>
      <w:r>
        <w:t>- Multiple-Choice Quizzes: Evaluation keys for internal training.</w:t>
      </w:r>
    </w:p>
    <w:p>
      <w:r>
        <w:t>- Stakeholder Emails &amp; Presentation Deck Outlines.</w:t>
      </w:r>
    </w:p>
    <w:p>
      <w:pPr>
        <w:pStyle w:val="Heading1"/>
      </w:pPr>
      <w:r>
        <w:t>3. Security &amp; Compliance Requirements</w:t>
      </w:r>
    </w:p>
    <w:p>
      <w:r>
        <w:t>All tenant documents are isolated by user_id. API endpoints enforce a sliding-window rate limit of 200 requests per minute. All incoming LLM prompts are sanitized against instruction overrides.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