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before="180" w:lineRule="auto"/>
        <w:rPr>
          <w:sz w:val="22"/>
          <w:szCs w:val="22"/>
        </w:rPr>
      </w:pPr>
      <w:r w:rsidDel="00000000" w:rsidR="00000000" w:rsidRPr="00000000">
        <w:rPr>
          <w:rFonts w:ascii="Roboto" w:cs="Roboto" w:eastAsia="Roboto" w:hAnsi="Roboto"/>
          <w:b w:val="1"/>
          <w:bCs w:val="1"/>
          <w:color w:val="1f3864"/>
          <w:sz w:val="24"/>
          <w:szCs w:val="24"/>
          <w:rtl w:val="0"/>
        </w:rPr>
        <w:t xml:space="preserve">Architecture Selection</w:t>
      </w:r>
      <w:r w:rsidDel="00000000" w:rsidR="00000000" w:rsidRPr="00000000">
        <w:rPr>
          <w:rtl w:val="0"/>
        </w:rPr>
      </w:r>
    </w:p>
    <w:p w:rsidR="00000000" w:rsidDel="00000000" w:rsidP="00000000" w:rsidRDefault="00000000" w:rsidRPr="00000000" w14:paraId="00000002">
      <w:pPr>
        <w:spacing w:after="90" w:lineRule="auto"/>
        <w:rPr>
          <w:sz w:val="22"/>
          <w:szCs w:val="22"/>
        </w:rPr>
      </w:pPr>
      <w:r w:rsidDel="00000000" w:rsidR="00000000" w:rsidRPr="00000000">
        <w:rPr>
          <w:rFonts w:ascii="Roboto" w:cs="Roboto" w:eastAsia="Roboto" w:hAnsi="Roboto"/>
          <w:i w:val="1"/>
          <w:iCs w:val="1"/>
          <w:sz w:val="24"/>
          <w:szCs w:val="24"/>
          <w:rtl w:val="0"/>
        </w:rPr>
        <w:t xml:space="preserve">I selected a Layered Architecture for the Peer Skill Exchange &amp; Mentorship Network System.</w:t>
      </w:r>
      <w:r w:rsidDel="00000000" w:rsidR="00000000" w:rsidRPr="00000000">
        <w:rPr>
          <w:rtl w:val="0"/>
        </w:rPr>
      </w:r>
    </w:p>
    <w:p w:rsidR="00000000" w:rsidDel="00000000" w:rsidP="00000000" w:rsidRDefault="00000000" w:rsidRPr="00000000" w14:paraId="00000003">
      <w:pPr>
        <w:spacing w:after="90" w:lineRule="auto"/>
        <w:rPr>
          <w:sz w:val="22"/>
          <w:szCs w:val="22"/>
        </w:rPr>
      </w:pPr>
      <w:r w:rsidDel="00000000" w:rsidR="00000000" w:rsidRPr="00000000">
        <w:rPr>
          <w:rFonts w:ascii="Roboto" w:cs="Roboto" w:eastAsia="Roboto" w:hAnsi="Roboto"/>
          <w:sz w:val="24"/>
          <w:szCs w:val="24"/>
          <w:rtl w:val="0"/>
        </w:rPr>
        <w:t xml:space="preserve">Our setup splits the system into three simple tiers: the Presentation Layer (User Interface Component), the Business Layer (housing the Booking &amp; Session Manager, Skill Listing &amp; Search Service, Time-Credit Ledger Service, Calendar Sync Service, and Feedback &amp; Rating Service), and the Data Layer (Database Component). Communication flows cleanly down through each tier via clear interfaces. The only external connection is a required interface from our Calendar Sync Service to connect with Google or Outlook calendars.</w:t>
      </w:r>
      <w:r w:rsidDel="00000000" w:rsidR="00000000" w:rsidRPr="00000000">
        <w:rPr>
          <w:rtl w:val="0"/>
        </w:rPr>
      </w:r>
    </w:p>
    <w:p w:rsidR="00000000" w:rsidDel="00000000" w:rsidP="00000000" w:rsidRDefault="00000000" w:rsidRPr="00000000" w14:paraId="00000004">
      <w:pPr>
        <w:spacing w:after="70" w:before="180" w:lineRule="auto"/>
        <w:rPr>
          <w:sz w:val="22"/>
          <w:szCs w:val="22"/>
        </w:rPr>
      </w:pPr>
      <w:r w:rsidDel="00000000" w:rsidR="00000000" w:rsidRPr="00000000">
        <w:rPr>
          <w:rFonts w:ascii="Roboto" w:cs="Roboto" w:eastAsia="Roboto" w:hAnsi="Roboto"/>
          <w:b w:val="1"/>
          <w:bCs w:val="1"/>
          <w:color w:val="1f3864"/>
          <w:sz w:val="24"/>
          <w:szCs w:val="24"/>
          <w:rtl w:val="0"/>
        </w:rPr>
        <w:t xml:space="preserve">Reason 1 — Workflow Shape Matches Clean Layer Boundaries</w:t>
      </w:r>
      <w:r w:rsidDel="00000000" w:rsidR="00000000" w:rsidRPr="00000000">
        <w:rPr>
          <w:rtl w:val="0"/>
        </w:rPr>
      </w:r>
    </w:p>
    <w:p w:rsidR="00000000" w:rsidDel="00000000" w:rsidP="00000000" w:rsidRDefault="00000000" w:rsidRPr="00000000" w14:paraId="00000005">
      <w:pPr>
        <w:spacing w:after="90" w:lineRule="auto"/>
        <w:rPr>
          <w:sz w:val="22"/>
          <w:szCs w:val="22"/>
        </w:rPr>
      </w:pPr>
      <w:r w:rsidDel="00000000" w:rsidR="00000000" w:rsidRPr="00000000">
        <w:rPr>
          <w:rFonts w:ascii="Roboto" w:cs="Roboto" w:eastAsia="Roboto" w:hAnsi="Roboto"/>
          <w:sz w:val="24"/>
          <w:szCs w:val="24"/>
          <w:rtl w:val="0"/>
        </w:rPr>
        <w:t xml:space="preserve">Every main feature in the platform—whether registering, browsing listings, booking sessions, or leaving reviews—follows a straightforward path. User input from the UI triggers specific business logic, which then updates or reads from the database. Since nothing in our requirements calls for individual features like search to scale or fail independently, breaking everything into microservices would just add an unnecessary deployment headache without any real upside. Keeping everything in layers makes our core business rules much easier to organize, read, and track.</w:t>
      </w:r>
      <w:r w:rsidDel="00000000" w:rsidR="00000000" w:rsidRPr="00000000">
        <w:rPr>
          <w:rtl w:val="0"/>
        </w:rPr>
      </w:r>
    </w:p>
    <w:p w:rsidR="00000000" w:rsidDel="00000000" w:rsidP="00000000" w:rsidRDefault="00000000" w:rsidRPr="00000000" w14:paraId="00000006">
      <w:pPr>
        <w:spacing w:after="70" w:before="180" w:lineRule="auto"/>
        <w:rPr>
          <w:sz w:val="22"/>
          <w:szCs w:val="22"/>
        </w:rPr>
      </w:pPr>
      <w:r w:rsidDel="00000000" w:rsidR="00000000" w:rsidRPr="00000000">
        <w:rPr>
          <w:rFonts w:ascii="Roboto" w:cs="Roboto" w:eastAsia="Roboto" w:hAnsi="Roboto"/>
          <w:b w:val="1"/>
          <w:bCs w:val="1"/>
          <w:color w:val="1f3864"/>
          <w:sz w:val="24"/>
          <w:szCs w:val="24"/>
          <w:rtl w:val="0"/>
        </w:rPr>
        <w:t xml:space="preserve">Reason 2 — Simpler to Build, Test, and Maintain for This Scope</w:t>
      </w:r>
      <w:r w:rsidDel="00000000" w:rsidR="00000000" w:rsidRPr="00000000">
        <w:rPr>
          <w:rtl w:val="0"/>
        </w:rPr>
      </w:r>
    </w:p>
    <w:p w:rsidR="00000000" w:rsidDel="00000000" w:rsidP="00000000" w:rsidRDefault="00000000" w:rsidRPr="00000000" w14:paraId="00000007">
      <w:pPr>
        <w:spacing w:after="90" w:lineRule="auto"/>
        <w:rPr>
          <w:sz w:val="22"/>
          <w:szCs w:val="22"/>
        </w:rPr>
      </w:pPr>
      <w:r w:rsidDel="00000000" w:rsidR="00000000" w:rsidRPr="00000000">
        <w:rPr>
          <w:rFonts w:ascii="Roboto" w:cs="Roboto" w:eastAsia="Roboto" w:hAnsi="Roboto"/>
          <w:sz w:val="24"/>
          <w:szCs w:val="24"/>
          <w:rtl w:val="0"/>
        </w:rPr>
        <w:t xml:space="preserve">The functional requirements (FR-001 through FR-005) outline a manageable feature set meant to be delivered by a small team within a lab deadline. Layering allows us to build and unit test each part (UI, logic, data) on its own while keeping deployment to a single, unified build. This helps us avoid extra operational overhead, complex network requests between services, and data synchronization issues that microservices would otherwise introduce.</w:t>
      </w:r>
      <w:r w:rsidDel="00000000" w:rsidR="00000000" w:rsidRPr="00000000">
        <w:rPr>
          <w:rtl w:val="0"/>
        </w:rPr>
      </w:r>
    </w:p>
    <w:p w:rsidR="00000000" w:rsidDel="00000000" w:rsidP="00000000" w:rsidRDefault="00000000" w:rsidRPr="00000000" w14:paraId="00000008">
      <w:pPr>
        <w:spacing w:after="70" w:before="180" w:lineRule="auto"/>
        <w:rPr>
          <w:sz w:val="22"/>
          <w:szCs w:val="22"/>
        </w:rPr>
      </w:pPr>
      <w:r w:rsidDel="00000000" w:rsidR="00000000" w:rsidRPr="00000000">
        <w:rPr>
          <w:rFonts w:ascii="Roboto" w:cs="Roboto" w:eastAsia="Roboto" w:hAnsi="Roboto"/>
          <w:b w:val="1"/>
          <w:bCs w:val="1"/>
          <w:color w:val="1f3864"/>
          <w:sz w:val="24"/>
          <w:szCs w:val="24"/>
          <w:rtl w:val="0"/>
        </w:rPr>
        <w:t xml:space="preserve">Security Advantage</w:t>
      </w:r>
      <w:r w:rsidDel="00000000" w:rsidR="00000000" w:rsidRPr="00000000">
        <w:rPr>
          <w:rtl w:val="0"/>
        </w:rPr>
      </w:r>
    </w:p>
    <w:p w:rsidR="00000000" w:rsidDel="00000000" w:rsidP="00000000" w:rsidRDefault="00000000" w:rsidRPr="00000000" w14:paraId="00000009">
      <w:pPr>
        <w:spacing w:after="90" w:lineRule="auto"/>
        <w:rPr>
          <w:sz w:val="22"/>
          <w:szCs w:val="22"/>
        </w:rPr>
      </w:pPr>
      <w:r w:rsidDel="00000000" w:rsidR="00000000" w:rsidRPr="00000000">
        <w:rPr>
          <w:rFonts w:ascii="Roboto" w:cs="Roboto" w:eastAsia="Roboto" w:hAnsi="Roboto"/>
          <w:sz w:val="24"/>
          <w:szCs w:val="24"/>
          <w:rtl w:val="0"/>
        </w:rPr>
        <w:t xml:space="preserve">By centralizing our authorization and validation checks in the Business Layer, every single request passes through the exact same logic—like checking time-credit balances before confirming a booking or enforcing the 48-hour feedback window—before touched data is modified. Because the UI layer contains no business logic and cannot access the database directly, we get a reliable single point of access control instead of duplicating validation checks across separate services. This significantly reduces our attack surface and avoids inconsistent rule enforcement.</w:t>
      </w:r>
      <w:r w:rsidDel="00000000" w:rsidR="00000000" w:rsidRPr="00000000">
        <w:rPr>
          <w:rtl w:val="0"/>
        </w:rPr>
      </w:r>
    </w:p>
    <w:p w:rsidR="00000000" w:rsidDel="00000000" w:rsidP="00000000" w:rsidRDefault="00000000" w:rsidRPr="00000000" w14:paraId="0000000A">
      <w:pPr>
        <w:spacing w:after="70" w:before="180" w:lineRule="auto"/>
        <w:rPr>
          <w:sz w:val="22"/>
          <w:szCs w:val="22"/>
        </w:rPr>
      </w:pPr>
      <w:r w:rsidDel="00000000" w:rsidR="00000000" w:rsidRPr="00000000">
        <w:rPr>
          <w:rFonts w:ascii="Roboto" w:cs="Roboto" w:eastAsia="Roboto" w:hAnsi="Roboto"/>
          <w:b w:val="1"/>
          <w:bCs w:val="1"/>
          <w:color w:val="1f3864"/>
          <w:sz w:val="24"/>
          <w:szCs w:val="24"/>
          <w:rtl w:val="0"/>
        </w:rPr>
        <w:t xml:space="preserve">Performance Benefit</w:t>
      </w:r>
      <w:r w:rsidDel="00000000" w:rsidR="00000000" w:rsidRPr="00000000">
        <w:rPr>
          <w:rtl w:val="0"/>
        </w:rPr>
      </w:r>
    </w:p>
    <w:p w:rsidR="00000000" w:rsidDel="00000000" w:rsidP="00000000" w:rsidRDefault="00000000" w:rsidRPr="00000000" w14:paraId="0000000B">
      <w:pPr>
        <w:spacing w:after="90" w:lineRule="auto"/>
        <w:rPr>
          <w:sz w:val="22"/>
          <w:szCs w:val="22"/>
        </w:rPr>
      </w:pPr>
      <w:r w:rsidDel="00000000" w:rsidR="00000000" w:rsidRPr="00000000">
        <w:rPr>
          <w:rFonts w:ascii="Roboto" w:cs="Roboto" w:eastAsia="Roboto" w:hAnsi="Roboto"/>
          <w:sz w:val="24"/>
          <w:szCs w:val="24"/>
          <w:rtl w:val="0"/>
        </w:rPr>
        <w:t xml:space="preserve">Since all Business Layer services run within the exact same process, interaction between the Booking &amp; Session Manager, Time-Credit Ledger Service, and Search Service happens via fast in-memory function calls. This avoids network latency and serialization overhead entirely, allowing us to comfortably satisfy NFR-002 (under 2-second search response times for up to 500 concurrent users) without needing complex distributed caching or retry strategies.</w:t>
      </w:r>
      <w:r w:rsidDel="00000000" w:rsidR="00000000" w:rsidRPr="00000000">
        <w:rPr>
          <w:rtl w:val="0"/>
        </w:rPr>
      </w:r>
    </w:p>
    <w:sectPr>
      <w:headerReference r:id="rId6" w:type="default"/>
      <w:headerReference r:id="rId7" w:type="first"/>
      <w:footerReference r:id="rId8" w:type="first"/>
      <w:pgSz w:h="15840" w:w="12240" w:orient="portrait"/>
      <w:pgMar w:bottom="900" w:top="90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spacing w:after="30" w:lineRule="auto"/>
      <w:jc w:val="center"/>
      <w:rPr>
        <w:sz w:val="24"/>
        <w:szCs w:val="24"/>
      </w:rPr>
    </w:pPr>
    <w:r w:rsidDel="00000000" w:rsidR="00000000" w:rsidRPr="00000000">
      <w:rPr>
        <w:rFonts w:ascii="Roboto" w:cs="Roboto" w:eastAsia="Roboto" w:hAnsi="Roboto"/>
        <w:b w:val="1"/>
        <w:bCs w:val="1"/>
        <w:sz w:val="26"/>
        <w:szCs w:val="26"/>
        <w:rtl w:val="0"/>
      </w:rPr>
      <w:t xml:space="preserve">Software Engineering Lab 3</w:t>
    </w:r>
    <w:r w:rsidDel="00000000" w:rsidR="00000000" w:rsidRPr="00000000">
      <w:rPr>
        <w:rtl w:val="0"/>
      </w:rPr>
    </w:r>
  </w:p>
  <w:p w:rsidR="00000000" w:rsidDel="00000000" w:rsidP="00000000" w:rsidRDefault="00000000" w:rsidRPr="00000000" w14:paraId="0000000E">
    <w:pPr>
      <w:spacing w:after="30" w:lineRule="auto"/>
      <w:jc w:val="center"/>
      <w:rPr>
        <w:sz w:val="22"/>
        <w:szCs w:val="22"/>
      </w:rPr>
    </w:pPr>
    <w:r w:rsidDel="00000000" w:rsidR="00000000" w:rsidRPr="00000000">
      <w:rPr>
        <w:rFonts w:ascii="Roboto" w:cs="Roboto" w:eastAsia="Roboto" w:hAnsi="Roboto"/>
        <w:b w:val="1"/>
        <w:bCs w:val="1"/>
        <w:i w:val="1"/>
        <w:iCs w:val="1"/>
        <w:sz w:val="24"/>
        <w:szCs w:val="24"/>
        <w:rtl w:val="0"/>
      </w:rPr>
      <w:t xml:space="preserve">Component Modelling &amp; Architectural Pattern Selection — Written Justification</w:t>
    </w:r>
    <w:r w:rsidDel="00000000" w:rsidR="00000000" w:rsidRPr="00000000">
      <w:rPr>
        <w:rtl w:val="0"/>
      </w:rPr>
    </w:r>
  </w:p>
  <w:p w:rsidR="00000000" w:rsidDel="00000000" w:rsidP="00000000" w:rsidRDefault="00000000" w:rsidRPr="00000000" w14:paraId="0000000F">
    <w:pPr>
      <w:spacing w:after="200" w:lineRule="auto"/>
      <w:jc w:val="left"/>
      <w:rPr/>
    </w:pPr>
    <w:r w:rsidDel="00000000" w:rsidR="00000000" w:rsidRPr="00000000">
      <w:rPr>
        <w:rFonts w:ascii="Roboto" w:cs="Roboto" w:eastAsia="Roboto" w:hAnsi="Roboto"/>
        <w:b w:val="1"/>
        <w:bCs w:val="1"/>
        <w:sz w:val="24"/>
        <w:szCs w:val="24"/>
        <w:rtl w:val="0"/>
      </w:rPr>
      <w:t xml:space="preserve">Rakshan R  |  SRN: PES1UG24CS365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