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30 September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>
            <w:r>
              <w:t>SWTID-2026-3555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ACE38A4" w:rsidR="00E370AF" w:rsidRDefault="00E370AF">
            <w:r>
              <w:t>AI Study Buddy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AI Study Buddy – Solution Architecture Diagram: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jc w:val="center"/>
        <w:rPr>
          <w:b/>
        </w:rPr>
      </w:pPr>
      <w:r>
        <w:drawing>
          <wp:inline xmlns:a="http://schemas.openxmlformats.org/drawingml/2006/main" xmlns:pic="http://schemas.openxmlformats.org/drawingml/2006/picture">
            <wp:extent cx="5760720" cy="31996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_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960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AI Study Buddy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>Flow: The student uses the React web interface → requests reach the FastAPI backend over HTTPS → the backend authenticates the user (JWT / Google OAuth) → the AI orchestration layer builds the prompt, retrieves relevant note chunks from the vector database (RAG) and calls the Claude LLM API → the response is returned to the student and results (chat history, scores, plans, progress) are stored in PostgreSQL / MongoDB, while uploaded notes are kept in AWS S3.</w:t>
      </w: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