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552"/>
          <w:sz w:val="26"/>
          <w:szCs w:val="26"/>
        </w:rPr>
        <w:t xml:space="preserve">VELLORE INSTITUTE OF TECHNOLOGY, CHENNAI</w:t>
      </w:r>
    </w:p>
    <w:p>
      <w:pPr>
        <w:spacing w:after="300"/>
        <w:jc w:val="center"/>
      </w:pPr>
      <w:r>
        <w:rPr>
          <w:rFonts w:ascii="Calibri" w:cs="Calibri" w:eastAsia="Calibri" w:hAnsi="Calibri"/>
          <w:color w:val="2E5F7C"/>
          <w:sz w:val="21"/>
          <w:szCs w:val="21"/>
        </w:rPr>
        <w:t xml:space="preserve">School of Computer Science and Engineering</w:t>
      </w:r>
    </w:p>
    <w:p>
      <w:pPr>
        <w:pBdr>
          <w:top w:val="single" w:color="B9C4CE" w:sz="8" w:space="8"/>
        </w:pBdr>
        <w:spacing w:after="60"/>
        <w:jc w:val="center"/>
      </w:pPr>
      <w:r>
        <w:rPr>
          <w:rFonts w:ascii="Calibri" w:cs="Calibri" w:eastAsia="Calibri" w:hAnsi="Calibri"/>
          <w:b/>
          <w:bCs/>
          <w:color w:val="55606B"/>
          <w:sz w:val="21"/>
          <w:szCs w:val="21"/>
        </w:rPr>
        <w:t xml:space="preserve">CRYPTOGRAPHY AND NETWORK SECURITY — MINI PROJECT</w:t>
      </w:r>
    </w:p>
    <w:p>
      <w:pPr>
        <w:pBdr>
          <w:bottom w:val="single" w:color="B9C4CE" w:sz="8" w:space="8"/>
        </w:pBdr>
        <w:spacing w:after="320"/>
        <w:jc w:val="center"/>
      </w:pPr>
      <w:r>
        <w:rPr>
          <w:rFonts w:ascii="Calibri" w:cs="Calibri" w:eastAsia="Calibri" w:hAnsi="Calibri"/>
          <w:b/>
          <w:bCs/>
          <w:color w:val="55606B"/>
          <w:sz w:val="21"/>
          <w:szCs w:val="21"/>
        </w:rPr>
        <w:t xml:space="preserve">REVIEW 1 — PROJECT PROPOSAL</w:t>
      </w:r>
    </w:p>
    <w:p>
      <w:pPr>
        <w:spacing w:after="200" w:before="200"/>
        <w:jc w:val="center"/>
      </w:pPr>
      <w:r>
        <w:rPr>
          <w:rFonts w:ascii="Calibri" w:cs="Calibri" w:eastAsia="Calibri" w:hAnsi="Calibri"/>
          <w:b/>
          <w:bCs/>
          <w:color w:val="1F3552"/>
          <w:sz w:val="32"/>
          <w:szCs w:val="32"/>
        </w:rPr>
        <w:t xml:space="preserve">A Real-Measurement Reappraisal of Post-Quantum Cryptography for Constrained IoT: Benchmarks, Hybrid Key Exchange, Timing Analysis and Device-Class Guidance</w:t>
      </w:r>
    </w:p>
    <w:p>
      <w:pPr>
        <w:spacing w:after="480"/>
        <w:jc w:val="center"/>
      </w:pPr>
      <w:r>
        <w:rPr>
          <w:rFonts w:ascii="Times New Roman" w:cs="Times New Roman" w:eastAsia="Times New Roman" w:hAnsi="Times New Roman"/>
          <w:i/>
          <w:iCs/>
          <w:color w:val="55606B"/>
          <w:sz w:val="21"/>
          <w:szCs w:val="21"/>
        </w:rPr>
        <w:t xml:space="preserve">A critical extension of Narayanan et al. (2026), “Quantum-Resilient IoT Communication Framework Using Post-Quantum Cryptography and Blockchain for Secure Edge Devices”</w:t>
      </w:r>
    </w:p>
    <w:tbl>
      <w:tblPr>
        <w:tblW w:type="dxa" w:w="9638"/>
        <w:tblBorders>
          <w:top w:val="single" w:color="B9C4CE" w:sz="4"/>
          <w:left w:val="single" w:color="B9C4CE" w:sz="4"/>
          <w:bottom w:val="single" w:color="B9C4CE" w:sz="4"/>
          <w:right w:val="single" w:color="B9C4CE" w:sz="4"/>
          <w:insideH w:val="single" w:color="B9C4CE" w:sz="2"/>
          <w:insideV w:val="single" w:color="B9C4CE" w:sz="2"/>
        </w:tblBorders>
      </w:tblPr>
      <w:tblGrid>
        <w:gridCol w:w="2600"/>
        <w:gridCol w:w="7038"/>
      </w:tblGrid>
      <w:tr>
        <w:trPr>
          <w:tblHeader/>
        </w:trPr>
        <w:tc>
          <w:tcPr>
            <w:tcW w:type="dxa" w:w="2600"/>
            <w:shd w:fill="1F3552"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b/>
                <w:bCs/>
                <w:color w:val="FFFFFF"/>
                <w:sz w:val="19"/>
                <w:szCs w:val="19"/>
              </w:rPr>
              <w:t xml:space="preserve">Item</w:t>
            </w:r>
          </w:p>
        </w:tc>
        <w:tc>
          <w:tcPr>
            <w:tcW w:type="dxa" w:w="7038"/>
            <w:shd w:fill="1F3552"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b/>
                <w:bCs/>
                <w:color w:val="FFFFFF"/>
                <w:sz w:val="19"/>
                <w:szCs w:val="19"/>
              </w:rPr>
              <w:t xml:space="preserve">Detail</w:t>
            </w:r>
          </w:p>
        </w:tc>
      </w:tr>
      <w:tr>
        <w:tc>
          <w:tcPr>
            <w:tcW w:type="dxa" w:w="2600"/>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b/>
                <w:bCs/>
                <w:sz w:val="20"/>
                <w:szCs w:val="20"/>
              </w:rPr>
              <w:t xml:space="preserve">Submitted by</w:t>
            </w:r>
          </w:p>
        </w:tc>
        <w:tc>
          <w:tcPr>
            <w:tcW w:type="dxa" w:w="7038"/>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b w:val="false"/>
                <w:bCs w:val="false"/>
                <w:sz w:val="20"/>
                <w:szCs w:val="20"/>
              </w:rPr>
              <w:t xml:space="preserve">Rakshit</w:t>
            </w:r>
          </w:p>
        </w:tc>
      </w:tr>
      <w:tr>
        <w:tc>
          <w:tcPr>
            <w:tcW w:type="dxa" w:w="2600"/>
            <w:shd w:fill="EDF1F5"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b/>
                <w:bCs/>
                <w:sz w:val="20"/>
                <w:szCs w:val="20"/>
              </w:rPr>
              <w:t xml:space="preserve">Register number</w:t>
            </w:r>
          </w:p>
        </w:tc>
        <w:tc>
          <w:tcPr>
            <w:tcW w:type="dxa" w:w="7038"/>
            <w:shd w:fill="EDF1F5"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b w:val="false"/>
                <w:bCs w:val="false"/>
                <w:sz w:val="20"/>
                <w:szCs w:val="20"/>
              </w:rPr>
              <w:t xml:space="preserve">___________________________</w:t>
            </w:r>
          </w:p>
        </w:tc>
      </w:tr>
      <w:tr>
        <w:tc>
          <w:tcPr>
            <w:tcW w:type="dxa" w:w="2600"/>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b/>
                <w:bCs/>
                <w:sz w:val="20"/>
                <w:szCs w:val="20"/>
              </w:rPr>
              <w:t xml:space="preserve">Slot / Class number</w:t>
            </w:r>
          </w:p>
        </w:tc>
        <w:tc>
          <w:tcPr>
            <w:tcW w:type="dxa" w:w="7038"/>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b w:val="false"/>
                <w:bCs w:val="false"/>
                <w:sz w:val="20"/>
                <w:szCs w:val="20"/>
              </w:rPr>
              <w:t xml:space="preserve">___________________________</w:t>
            </w:r>
          </w:p>
        </w:tc>
      </w:tr>
      <w:tr>
        <w:tc>
          <w:tcPr>
            <w:tcW w:type="dxa" w:w="2600"/>
            <w:shd w:fill="EDF1F5"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b/>
                <w:bCs/>
                <w:sz w:val="20"/>
                <w:szCs w:val="20"/>
              </w:rPr>
              <w:t xml:space="preserve">Course</w:t>
            </w:r>
          </w:p>
        </w:tc>
        <w:tc>
          <w:tcPr>
            <w:tcW w:type="dxa" w:w="7038"/>
            <w:shd w:fill="EDF1F5"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b w:val="false"/>
                <w:bCs w:val="false"/>
                <w:sz w:val="20"/>
                <w:szCs w:val="20"/>
              </w:rPr>
              <w:t xml:space="preserve">Cryptography and Network Security — Mini Project</w:t>
            </w:r>
          </w:p>
        </w:tc>
      </w:tr>
      <w:tr>
        <w:tc>
          <w:tcPr>
            <w:tcW w:type="dxa" w:w="2600"/>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b/>
                <w:bCs/>
                <w:sz w:val="20"/>
                <w:szCs w:val="20"/>
              </w:rPr>
              <w:t xml:space="preserve">Faculty in charge</w:t>
            </w:r>
          </w:p>
        </w:tc>
        <w:tc>
          <w:tcPr>
            <w:tcW w:type="dxa" w:w="7038"/>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b w:val="false"/>
                <w:bCs w:val="false"/>
                <w:sz w:val="20"/>
                <w:szCs w:val="20"/>
              </w:rPr>
              <w:t xml:space="preserve">Prof. Karthika V, Assistant Professor, SCOPE, VIT Chennai</w:t>
            </w:r>
          </w:p>
        </w:tc>
      </w:tr>
      <w:tr>
        <w:tc>
          <w:tcPr>
            <w:tcW w:type="dxa" w:w="2600"/>
            <w:shd w:fill="EDF1F5"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b/>
                <w:bCs/>
                <w:sz w:val="20"/>
                <w:szCs w:val="20"/>
              </w:rPr>
              <w:t xml:space="preserve">Review</w:t>
            </w:r>
          </w:p>
        </w:tc>
        <w:tc>
          <w:tcPr>
            <w:tcW w:type="dxa" w:w="7038"/>
            <w:shd w:fill="EDF1F5"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b w:val="false"/>
                <w:bCs w:val="false"/>
                <w:sz w:val="20"/>
                <w:szCs w:val="20"/>
              </w:rPr>
              <w:t xml:space="preserve">Review 1 (10 marks) — August 3–7, 2026</w:t>
            </w:r>
          </w:p>
        </w:tc>
      </w:tr>
      <w:tr>
        <w:tc>
          <w:tcPr>
            <w:tcW w:type="dxa" w:w="2600"/>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b/>
                <w:bCs/>
                <w:sz w:val="20"/>
                <w:szCs w:val="20"/>
              </w:rPr>
              <w:t xml:space="preserve">Base paper attached</w:t>
            </w:r>
          </w:p>
        </w:tc>
        <w:tc>
          <w:tcPr>
            <w:tcW w:type="dxa" w:w="7038"/>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b w:val="false"/>
                <w:bCs w:val="false"/>
                <w:sz w:val="20"/>
                <w:szCs w:val="20"/>
              </w:rPr>
              <w:t xml:space="preserve">Yes — hard copy of Narayanan et al. (2026), DOI 10.1007/s40998-025-01002-1</w:t>
            </w:r>
          </w:p>
        </w:tc>
      </w:tr>
      <w:tr>
        <w:tc>
          <w:tcPr>
            <w:tcW w:type="dxa" w:w="2600"/>
            <w:shd w:fill="EDF1F5"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b/>
                <w:bCs/>
                <w:sz w:val="20"/>
                <w:szCs w:val="20"/>
              </w:rPr>
              <w:t xml:space="preserve">Date of submission</w:t>
            </w:r>
          </w:p>
        </w:tc>
        <w:tc>
          <w:tcPr>
            <w:tcW w:type="dxa" w:w="7038"/>
            <w:shd w:fill="EDF1F5"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b w:val="false"/>
                <w:bCs w:val="false"/>
                <w:sz w:val="20"/>
                <w:szCs w:val="20"/>
              </w:rPr>
              <w:t xml:space="preserve">___________________________</w:t>
            </w:r>
          </w:p>
        </w:tc>
      </w:tr>
    </w:tbl>
    <w:p>
      <w:r>
        <w:br w:type="page"/>
      </w:r>
    </w:p>
    <w:p>
      <w:pPr>
        <w:pStyle w:val="Heading1"/>
        <w:pBdr>
          <w:bottom w:val="single" w:color="B9C4CE" w:sz="8" w:space="4"/>
        </w:pBdr>
        <w:spacing w:after="150" w:before="300"/>
      </w:pPr>
      <w:r>
        <w:rPr>
          <w:rFonts w:ascii="Calibri" w:cs="Calibri" w:eastAsia="Calibri" w:hAnsi="Calibri"/>
          <w:b/>
          <w:bCs/>
          <w:color w:val="1F3552"/>
          <w:sz w:val="27"/>
          <w:szCs w:val="27"/>
        </w:rPr>
        <w:t xml:space="preserve">1.  Title of the Proposed Work</w:t>
      </w:r>
    </w:p>
    <w:p>
      <w:pPr>
        <w:spacing w:after="140" w:before="0" w:line="300"/>
        <w:jc w:val="both"/>
      </w:pPr>
      <w:r>
        <w:rPr>
          <w:rFonts w:ascii="Times New Roman" w:cs="Times New Roman" w:eastAsia="Times New Roman" w:hAnsi="Times New Roman"/>
          <w:b/>
          <w:bCs/>
          <w:sz w:val="22"/>
          <w:szCs w:val="22"/>
        </w:rPr>
        <w:t xml:space="preserve">A Real-Measurement Reappraisal of Post-Quantum Cryptography for Constrained IoT: Benchmarks, Hybrid Key Exchange, Timing Analysis and Device-Class Guidance.</w:t>
      </w:r>
    </w:p>
    <w:p>
      <w:pPr>
        <w:spacing w:after="140" w:before="0" w:line="300"/>
        <w:jc w:val="both"/>
      </w:pPr>
      <w:r>
        <w:rPr>
          <w:rFonts w:ascii="Times New Roman" w:cs="Times New Roman" w:eastAsia="Times New Roman" w:hAnsi="Times New Roman"/>
          <w:sz w:val="22"/>
          <w:szCs w:val="22"/>
        </w:rPr>
        <w:t xml:space="preserve">In one sentence: the project replaces the simulated performance claims of a recent post-quantum IoT security framework with reproducible measurements on real cryptographic implementations, widens its single design choices (one signature scheme, no hybrid key exchange) into compared design spaces, adds the side-channel dimension the original omits, and converts the result into deployment guidance indexed by RFC 7228 device class.</w:t>
      </w:r>
    </w:p>
    <w:p>
      <w:pPr>
        <w:pStyle w:val="Heading1"/>
        <w:pBdr>
          <w:bottom w:val="single" w:color="B9C4CE" w:sz="8" w:space="4"/>
        </w:pBdr>
        <w:spacing w:after="150" w:before="300"/>
      </w:pPr>
      <w:r>
        <w:rPr>
          <w:rFonts w:ascii="Calibri" w:cs="Calibri" w:eastAsia="Calibri" w:hAnsi="Calibri"/>
          <w:b/>
          <w:bCs/>
          <w:color w:val="1F3552"/>
          <w:sz w:val="27"/>
          <w:szCs w:val="27"/>
        </w:rPr>
        <w:t xml:space="preserve">2.  Selected Research Paper</w:t>
      </w:r>
    </w:p>
    <w:tbl>
      <w:tblPr>
        <w:tblW w:type="dxa" w:w="9638"/>
        <w:tblBorders>
          <w:top w:val="single" w:color="B9C4CE" w:sz="4"/>
          <w:left w:val="single" w:color="B9C4CE" w:sz="4"/>
          <w:bottom w:val="single" w:color="B9C4CE" w:sz="4"/>
          <w:right w:val="single" w:color="B9C4CE" w:sz="4"/>
          <w:insideH w:val="single" w:color="B9C4CE" w:sz="2"/>
          <w:insideV w:val="single" w:color="B9C4CE" w:sz="2"/>
        </w:tblBorders>
      </w:tblPr>
      <w:tblGrid>
        <w:gridCol w:w="2400"/>
        <w:gridCol w:w="7238"/>
      </w:tblGrid>
      <w:tr>
        <w:trPr>
          <w:tblHeader/>
        </w:trPr>
        <w:tc>
          <w:tcPr>
            <w:tcW w:type="dxa" w:w="2400"/>
            <w:shd w:fill="1F3552"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b/>
                <w:bCs/>
                <w:color w:val="FFFFFF"/>
                <w:sz w:val="19"/>
                <w:szCs w:val="19"/>
              </w:rPr>
              <w:t xml:space="preserve">Field</w:t>
            </w:r>
          </w:p>
        </w:tc>
        <w:tc>
          <w:tcPr>
            <w:tcW w:type="dxa" w:w="7238"/>
            <w:shd w:fill="1F3552"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b/>
                <w:bCs/>
                <w:color w:val="FFFFFF"/>
                <w:sz w:val="19"/>
                <w:szCs w:val="19"/>
              </w:rPr>
              <w:t xml:space="preserve">Value</w:t>
            </w:r>
          </w:p>
        </w:tc>
      </w:tr>
      <w:tr>
        <w:tc>
          <w:tcPr>
            <w:tcW w:type="dxa" w:w="2400"/>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b/>
                <w:bCs/>
                <w:sz w:val="20"/>
                <w:szCs w:val="20"/>
              </w:rPr>
              <w:t xml:space="preserve">Title</w:t>
            </w:r>
          </w:p>
        </w:tc>
        <w:tc>
          <w:tcPr>
            <w:tcW w:type="dxa" w:w="7238"/>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b w:val="false"/>
                <w:bCs w:val="false"/>
                <w:sz w:val="20"/>
                <w:szCs w:val="20"/>
              </w:rPr>
              <w:t xml:space="preserve">Quantum-Resilient IoT Communication Framework Using Post-Quantum Cryptography and Blockchain for Secure Edge Devices</w:t>
            </w:r>
          </w:p>
        </w:tc>
      </w:tr>
      <w:tr>
        <w:tc>
          <w:tcPr>
            <w:tcW w:type="dxa" w:w="2400"/>
            <w:shd w:fill="EDF1F5"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b/>
                <w:bCs/>
                <w:sz w:val="20"/>
                <w:szCs w:val="20"/>
              </w:rPr>
              <w:t xml:space="preserve">Authors</w:t>
            </w:r>
          </w:p>
        </w:tc>
        <w:tc>
          <w:tcPr>
            <w:tcW w:type="dxa" w:w="7238"/>
            <w:shd w:fill="EDF1F5"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b w:val="false"/>
                <w:bCs w:val="false"/>
                <w:sz w:val="20"/>
                <w:szCs w:val="20"/>
              </w:rPr>
              <w:t xml:space="preserve">S. Narayanan et al.</w:t>
            </w:r>
          </w:p>
        </w:tc>
      </w:tr>
      <w:tr>
        <w:tc>
          <w:tcPr>
            <w:tcW w:type="dxa" w:w="2400"/>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b/>
                <w:bCs/>
                <w:sz w:val="20"/>
                <w:szCs w:val="20"/>
              </w:rPr>
              <w:t xml:space="preserve">Journal</w:t>
            </w:r>
          </w:p>
        </w:tc>
        <w:tc>
          <w:tcPr>
            <w:tcW w:type="dxa" w:w="7238"/>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b w:val="false"/>
                <w:bCs w:val="false"/>
                <w:sz w:val="20"/>
                <w:szCs w:val="20"/>
              </w:rPr>
              <w:t xml:space="preserve">Iranian Journal of Science and Technology, Transactions of Electrical Engineering (Springer)</w:t>
            </w:r>
          </w:p>
        </w:tc>
      </w:tr>
      <w:tr>
        <w:tc>
          <w:tcPr>
            <w:tcW w:type="dxa" w:w="2400"/>
            <w:shd w:fill="EDF1F5"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b/>
                <w:bCs/>
                <w:sz w:val="20"/>
                <w:szCs w:val="20"/>
              </w:rPr>
              <w:t xml:space="preserve">Volume / Pages</w:t>
            </w:r>
          </w:p>
        </w:tc>
        <w:tc>
          <w:tcPr>
            <w:tcW w:type="dxa" w:w="7238"/>
            <w:shd w:fill="EDF1F5"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b w:val="false"/>
                <w:bCs w:val="false"/>
                <w:sz w:val="20"/>
                <w:szCs w:val="20"/>
              </w:rPr>
              <w:t xml:space="preserve">Vol. 50, pp. 203–221</w:t>
            </w:r>
          </w:p>
        </w:tc>
      </w:tr>
      <w:tr>
        <w:tc>
          <w:tcPr>
            <w:tcW w:type="dxa" w:w="2400"/>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b/>
                <w:bCs/>
                <w:sz w:val="20"/>
                <w:szCs w:val="20"/>
              </w:rPr>
              <w:t xml:space="preserve">Year of publication</w:t>
            </w:r>
          </w:p>
        </w:tc>
        <w:tc>
          <w:tcPr>
            <w:tcW w:type="dxa" w:w="7238"/>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b w:val="false"/>
                <w:bCs w:val="false"/>
                <w:sz w:val="20"/>
                <w:szCs w:val="20"/>
              </w:rPr>
              <w:t xml:space="preserve">2026 (within the last two years, as required)</w:t>
            </w:r>
          </w:p>
        </w:tc>
      </w:tr>
      <w:tr>
        <w:tc>
          <w:tcPr>
            <w:tcW w:type="dxa" w:w="2400"/>
            <w:shd w:fill="EDF1F5"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b/>
                <w:bCs/>
                <w:sz w:val="20"/>
                <w:szCs w:val="20"/>
              </w:rPr>
              <w:t xml:space="preserve">DOI</w:t>
            </w:r>
          </w:p>
        </w:tc>
        <w:tc>
          <w:tcPr>
            <w:tcW w:type="dxa" w:w="7238"/>
            <w:shd w:fill="EDF1F5"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b w:val="false"/>
                <w:bCs w:val="false"/>
                <w:sz w:val="20"/>
                <w:szCs w:val="20"/>
              </w:rPr>
              <w:t xml:space="preserve">10.1007/s40998-025-01002-1</w:t>
            </w:r>
          </w:p>
        </w:tc>
      </w:tr>
      <w:tr>
        <w:tc>
          <w:tcPr>
            <w:tcW w:type="dxa" w:w="2400"/>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b/>
                <w:bCs/>
                <w:sz w:val="20"/>
                <w:szCs w:val="20"/>
              </w:rPr>
              <w:t xml:space="preserve">Short name used here</w:t>
            </w:r>
          </w:p>
        </w:tc>
        <w:tc>
          <w:tcPr>
            <w:tcW w:type="dxa" w:w="7238"/>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b w:val="false"/>
                <w:bCs w:val="false"/>
                <w:sz w:val="20"/>
                <w:szCs w:val="20"/>
              </w:rPr>
              <w:t xml:space="preserve">PQShield-IoT</w:t>
            </w:r>
          </w:p>
        </w:tc>
      </w:tr>
      <w:tr>
        <w:tc>
          <w:tcPr>
            <w:tcW w:type="dxa" w:w="2400"/>
            <w:shd w:fill="EDF1F5"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b/>
                <w:bCs/>
                <w:sz w:val="20"/>
                <w:szCs w:val="20"/>
              </w:rPr>
              <w:t xml:space="preserve">Domain</w:t>
            </w:r>
          </w:p>
        </w:tc>
        <w:tc>
          <w:tcPr>
            <w:tcW w:type="dxa" w:w="7238"/>
            <w:shd w:fill="EDF1F5"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b w:val="false"/>
                <w:bCs w:val="false"/>
                <w:sz w:val="20"/>
                <w:szCs w:val="20"/>
              </w:rPr>
              <w:t xml:space="preserve">Post-quantum cryptography, IoT / edge security, applied network security</w:t>
            </w:r>
          </w:p>
        </w:tc>
      </w:tr>
    </w:tbl>
    <w:p>
      <w:pPr>
        <w:spacing w:after="200"/>
      </w:pPr>
    </w:p>
    <w:p>
      <w:pPr>
        <w:pStyle w:val="Heading2"/>
        <w:spacing w:after="90" w:before="200"/>
      </w:pPr>
      <w:r>
        <w:rPr>
          <w:rFonts w:ascii="Calibri" w:cs="Calibri" w:eastAsia="Calibri" w:hAnsi="Calibri"/>
          <w:b/>
          <w:bCs/>
          <w:color w:val="2E5F7C"/>
          <w:sz w:val="23"/>
          <w:szCs w:val="23"/>
        </w:rPr>
        <w:t xml:space="preserve">2.1  Summary of the paper</w:t>
      </w:r>
    </w:p>
    <w:p>
      <w:pPr>
        <w:spacing w:after="140" w:before="0" w:line="300"/>
        <w:jc w:val="both"/>
      </w:pPr>
      <w:r>
        <w:rPr>
          <w:rFonts w:ascii="Times New Roman" w:cs="Times New Roman" w:eastAsia="Times New Roman" w:hAnsi="Times New Roman"/>
          <w:sz w:val="22"/>
          <w:szCs w:val="22"/>
        </w:rPr>
        <w:t xml:space="preserve">PQShield-IoT proposes an end-to-end security framework for resource-constrained IoT edge devices that is designed to remain secure against an adversary in possession of a large-scale quantum computer. Its motivation is the harvest-now-decrypt-later threat: because Shor’s algorithm breaks the integer-factorisation and discrete-logarithm problems that underpin RSA and elliptic-curve cryptography, traffic that is recorded today under classical public-key protection becomes retrospectively readable once such a machine exists. Long-lived IoT deployments, whose devices are field-installed for a decade or more and are rarely updated, are the population most exposed to that timeline.</w:t>
      </w:r>
    </w:p>
    <w:p>
      <w:pPr>
        <w:spacing w:after="140" w:before="0" w:line="300"/>
        <w:jc w:val="both"/>
      </w:pPr>
      <w:r>
        <w:rPr>
          <w:rFonts w:ascii="Times New Roman" w:cs="Times New Roman" w:eastAsia="Times New Roman" w:hAnsi="Times New Roman"/>
          <w:sz w:val="22"/>
          <w:szCs w:val="22"/>
        </w:rPr>
        <w:t xml:space="preserve">The framework replaces only the public-key layer, which is the correct scoping decision: Grover’s algorithm merely halves symmetric security, so AES-256-GCM and SHA3-256 are retained for bulk encryption and key derivation respectively. In their place the authors adopt CRYSTALS-Kyber (Kyber512) for key encapsulation and CRYSTALS-Dilithium (Dilithium2) for digital signatures, both lattice-based schemes drawn from the NIST post-quantum standardisation process. Each device is provisioned with a pre-computed post-quantum key pair; a session is established by encapsulating against the peer’s long-term Kyber public key and deriving a symmetric key from the resulting shared secret together with device identities and timestamps.</w:t>
      </w:r>
    </w:p>
    <w:p>
      <w:pPr>
        <w:spacing w:after="140" w:before="0" w:line="300"/>
        <w:jc w:val="both"/>
      </w:pPr>
      <w:r>
        <w:rPr>
          <w:rFonts w:ascii="Times New Roman" w:cs="Times New Roman" w:eastAsia="Times New Roman" w:hAnsi="Times New Roman"/>
          <w:sz w:val="22"/>
          <w:szCs w:val="22"/>
        </w:rPr>
        <w:t xml:space="preserve">Layered above the cryptography is a permissioned blockchain that provides decentralised identity and access management: device enrolment, public-key registration, revocation and access decisions are recorded as ledger transactions rather than held by a single certificate authority, which removes the central point of compromise that conventional PKI introduces into an edge deployment. Smart-contract logic mediates authorisation between edge nodes and gateways.</w:t>
      </w:r>
    </w:p>
    <w:p>
      <w:pPr>
        <w:spacing w:after="140" w:before="0" w:line="300"/>
        <w:jc w:val="both"/>
      </w:pPr>
      <w:r>
        <w:rPr>
          <w:rFonts w:ascii="Times New Roman" w:cs="Times New Roman" w:eastAsia="Times New Roman" w:hAnsi="Times New Roman"/>
          <w:sz w:val="22"/>
          <w:szCs w:val="22"/>
        </w:rPr>
        <w:t xml:space="preserve">The evaluation is conducted in simulation. The authors model ARM Cortex-M4F device profiles inside Contiki-NG and NS-3, scale the network between roughly fifteen and two hundred nodes, and report per-operation cryptographic latencies (28 ms and 31 ms for Kyber512 encapsulation and decapsulation; 42 ms and 36 ms for Dilithium2 signing and verification), together with aggregate authentication latency, throughput and energy figures. They state that the cryptographic code was taken from the PQClean and liboqs projects. The reported conclusion is that quantum-resilient security is achievable on constrained edge hardware at acceptable overhead, and that the blockchain layer scales to the node counts examined.</w:t>
      </w:r>
    </w:p>
    <w:p>
      <w:pPr>
        <w:spacing w:after="140" w:before="0" w:line="300"/>
        <w:jc w:val="both"/>
      </w:pPr>
      <w:r>
        <w:rPr>
          <w:rFonts w:ascii="Times New Roman" w:cs="Times New Roman" w:eastAsia="Times New Roman" w:hAnsi="Times New Roman"/>
          <w:sz w:val="22"/>
          <w:szCs w:val="22"/>
        </w:rPr>
        <w:t xml:space="preserve">The paper is a well-integrated design and a useful synthesis of two active research threads. Its contribution is architectural rather than empirical, and it is precisely on the empirical side that the openings for this project lie.</w:t>
      </w:r>
    </w:p>
    <w:p>
      <w:pPr>
        <w:pStyle w:val="Heading1"/>
        <w:pBdr>
          <w:bottom w:val="single" w:color="B9C4CE" w:sz="8" w:space="4"/>
        </w:pBdr>
        <w:spacing w:after="150" w:before="300"/>
      </w:pPr>
      <w:r>
        <w:rPr>
          <w:rFonts w:ascii="Calibri" w:cs="Calibri" w:eastAsia="Calibri" w:hAnsi="Calibri"/>
          <w:b/>
          <w:bCs/>
          <w:color w:val="1F3552"/>
          <w:sz w:val="27"/>
          <w:szCs w:val="27"/>
        </w:rPr>
        <w:t xml:space="preserve">3.  Research Gap and Limitations of the Existing Work</w:t>
      </w:r>
    </w:p>
    <w:p>
      <w:pPr>
        <w:spacing w:after="140" w:before="0" w:line="300"/>
        <w:jc w:val="both"/>
      </w:pPr>
      <w:r>
        <w:rPr>
          <w:rFonts w:ascii="Times New Roman" w:cs="Times New Roman" w:eastAsia="Times New Roman" w:hAnsi="Times New Roman"/>
          <w:sz w:val="22"/>
          <w:szCs w:val="22"/>
        </w:rPr>
        <w:t xml:space="preserve">A close reading of PQShield-IoT against the surrounding literature — the NIST standards FIPS 203/204/205, the pqm4 Cortex-M4 benchmark suite, the IETF hybrid key-exchange specification, and the KyberSlash line of timing attacks — yields five gaps. Four are direct limitations of the paper; the fifth is integrative and arises from combining them. They are stated as limitations to be investigated, not as accusations.</w:t>
      </w:r>
    </w:p>
    <w:p>
      <w:pPr>
        <w:spacing w:after="80"/>
      </w:pPr>
    </w:p>
    <w:tbl>
      <w:tblPr>
        <w:tblW w:type="dxa" w:w="9638"/>
        <w:tblBorders>
          <w:top w:val="single" w:color="B9C4CE" w:sz="4"/>
          <w:left w:val="single" w:color="B9C4CE" w:sz="4"/>
          <w:bottom w:val="single" w:color="B9C4CE" w:sz="4"/>
          <w:right w:val="single" w:color="B9C4CE" w:sz="4"/>
          <w:insideH w:val="single" w:color="B9C4CE" w:sz="2"/>
          <w:insideV w:val="single" w:color="B9C4CE" w:sz="2"/>
        </w:tblBorders>
      </w:tblPr>
      <w:tblGrid>
        <w:gridCol w:w="760"/>
        <w:gridCol w:w="2500"/>
        <w:gridCol w:w="6378"/>
      </w:tblGrid>
      <w:tr>
        <w:trPr>
          <w:tblHeader/>
        </w:trPr>
        <w:tc>
          <w:tcPr>
            <w:tcW w:type="dxa" w:w="760"/>
            <w:shd w:fill="1F3552"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b/>
                <w:bCs/>
                <w:color w:val="FFFFFF"/>
                <w:sz w:val="19"/>
                <w:szCs w:val="19"/>
              </w:rPr>
              <w:t xml:space="preserve">#</w:t>
            </w:r>
          </w:p>
        </w:tc>
        <w:tc>
          <w:tcPr>
            <w:tcW w:type="dxa" w:w="2500"/>
            <w:shd w:fill="1F3552"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b/>
                <w:bCs/>
                <w:color w:val="FFFFFF"/>
                <w:sz w:val="19"/>
                <w:szCs w:val="19"/>
              </w:rPr>
              <w:t xml:space="preserve">Gap</w:t>
            </w:r>
          </w:p>
        </w:tc>
        <w:tc>
          <w:tcPr>
            <w:tcW w:type="dxa" w:w="6378"/>
            <w:shd w:fill="1F3552"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b/>
                <w:bCs/>
                <w:color w:val="FFFFFF"/>
                <w:sz w:val="19"/>
                <w:szCs w:val="19"/>
              </w:rPr>
              <w:t xml:space="preserve">Why it matters</w:t>
            </w:r>
          </w:p>
        </w:tc>
      </w:tr>
      <w:tr>
        <w:tc>
          <w:tcPr>
            <w:tcW w:type="dxa" w:w="760"/>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9"/>
                <w:szCs w:val="19"/>
              </w:rPr>
              <w:t xml:space="preserve">G1</w:t>
            </w:r>
          </w:p>
        </w:tc>
        <w:tc>
          <w:tcPr>
            <w:tcW w:type="dxa" w:w="2500"/>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9"/>
                <w:szCs w:val="19"/>
              </w:rPr>
              <w:t xml:space="preserve">Pure post-quantum key exchange, with no classical component</w:t>
            </w:r>
          </w:p>
        </w:tc>
        <w:tc>
          <w:tcPr>
            <w:tcW w:type="dxa" w:w="6378"/>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9"/>
                <w:szCs w:val="19"/>
              </w:rPr>
              <w:t xml:space="preserve">Deployed migrations do not trust lattice cryptography alone, because lattice cryptanalysis is far younger than RSA/ECC cryptanalysis. TLS 1.3 uses the hybrid group X25519MLKEM768, deriving the session key from a concatenation of a classical and a post-quantum shared secret so that the channel survives unless both hardness assumptions fall. PQShield-IoT offers no such fallback: a single cryptanalytic advance against Module-LWE collapses the entire design.</w:t>
            </w:r>
          </w:p>
        </w:tc>
      </w:tr>
      <w:tr>
        <w:tc>
          <w:tcPr>
            <w:tcW w:type="dxa" w:w="760"/>
            <w:shd w:fill="EDF1F5"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9"/>
                <w:szCs w:val="19"/>
              </w:rPr>
              <w:t xml:space="preserve">G2</w:t>
            </w:r>
          </w:p>
        </w:tc>
        <w:tc>
          <w:tcPr>
            <w:tcW w:type="dxa" w:w="2500"/>
            <w:shd w:fill="EDF1F5"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9"/>
                <w:szCs w:val="19"/>
              </w:rPr>
              <w:t xml:space="preserve">Performance figures reported without a measurement methodology</w:t>
            </w:r>
          </w:p>
        </w:tc>
        <w:tc>
          <w:tcPr>
            <w:tcW w:type="dxa" w:w="6378"/>
            <w:shd w:fill="EDF1F5"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9"/>
                <w:szCs w:val="19"/>
              </w:rPr>
              <w:t xml:space="preserve">The paper gives per-operation latencies in milliseconds but specifies no execution host, no timing procedure, no repetition count and no variance, and the device is an emulated Cortex-M4F profile rather than silicon. Numbers presented this way cannot be attributed to a measurement, reproduced, or compared against other work.</w:t>
            </w:r>
          </w:p>
        </w:tc>
      </w:tr>
      <w:tr>
        <w:tc>
          <w:tcPr>
            <w:tcW w:type="dxa" w:w="760"/>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9"/>
                <w:szCs w:val="19"/>
              </w:rPr>
              <w:t xml:space="preserve">G3</w:t>
            </w:r>
          </w:p>
        </w:tc>
        <w:tc>
          <w:tcPr>
            <w:tcW w:type="dxa" w:w="2500"/>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9"/>
                <w:szCs w:val="19"/>
              </w:rPr>
              <w:t xml:space="preserve">A single signature scheme (Dilithium2) with no alternatives compared</w:t>
            </w:r>
          </w:p>
        </w:tc>
        <w:tc>
          <w:tcPr>
            <w:tcW w:type="dxa" w:w="6378"/>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9"/>
                <w:szCs w:val="19"/>
              </w:rPr>
              <w:t xml:space="preserve">The three standardised signature families differ by orders of magnitude in exactly the dimensions that decide feasibility on a microcontroller. Falcon-512 produces signatures roughly one quarter the size of ML-DSA-44 and verifies very fast but signs slowly; SPHINCS+ rests on hash functions alone, the most conservative assumption available, but its signing cost and multi-kilobyte signatures make on-device signing impractical. Committing to one scheme for every role forgoes these trade-offs.</w:t>
            </w:r>
          </w:p>
        </w:tc>
      </w:tr>
      <w:tr>
        <w:tc>
          <w:tcPr>
            <w:tcW w:type="dxa" w:w="760"/>
            <w:shd w:fill="EDF1F5"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9"/>
                <w:szCs w:val="19"/>
              </w:rPr>
              <w:t xml:space="preserve">G4</w:t>
            </w:r>
          </w:p>
        </w:tc>
        <w:tc>
          <w:tcPr>
            <w:tcW w:type="dxa" w:w="2500"/>
            <w:shd w:fill="EDF1F5"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9"/>
                <w:szCs w:val="19"/>
              </w:rPr>
              <w:t xml:space="preserve">No timing or side-channel analysis</w:t>
            </w:r>
          </w:p>
        </w:tc>
        <w:tc>
          <w:tcPr>
            <w:tcW w:type="dxa" w:w="6378"/>
            <w:shd w:fill="EDF1F5"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9"/>
                <w:szCs w:val="19"/>
              </w:rPr>
              <w:t xml:space="preserve">An algorithm that is secure on paper leaks its key if the implementation’s runtime depends on secret data. This is not hypothetical for the exact scheme the paper uses: the KyberSlash attacks recovered Kyber secret keys from a secret-dependent division in reference decapsulation. The IND-CCA2 guarantee of ML-KEM depends specifically on the Fujisaki–Okamoto implicit-rejection path being constant-time, and no such check is reported.</w:t>
            </w:r>
          </w:p>
        </w:tc>
      </w:tr>
      <w:tr>
        <w:tc>
          <w:tcPr>
            <w:tcW w:type="dxa" w:w="760"/>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9"/>
                <w:szCs w:val="19"/>
              </w:rPr>
              <w:t xml:space="preserve">G5</w:t>
            </w:r>
          </w:p>
        </w:tc>
        <w:tc>
          <w:tcPr>
            <w:tcW w:type="dxa" w:w="2500"/>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9"/>
                <w:szCs w:val="19"/>
              </w:rPr>
              <w:t xml:space="preserve">No bridge from the simulated numbers to measured constrained hardware, and no device-class guidance</w:t>
            </w:r>
          </w:p>
        </w:tc>
        <w:tc>
          <w:tcPr>
            <w:tcW w:type="dxa" w:w="6378"/>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9"/>
                <w:szCs w:val="19"/>
              </w:rPr>
              <w:t xml:space="preserve">Because the evaluation never touches silicon and never states a methodology, a reader has no way to judge whether the reported latencies are plausible for the declared 120 MHz device, and no basis for deciding which scheme suits which class of device. The paper therefore supplies architecture but not deployment guidance.</w:t>
            </w:r>
          </w:p>
        </w:tc>
      </w:tr>
    </w:tbl>
    <w:p>
      <w:pPr>
        <w:spacing w:after="120"/>
      </w:pPr>
    </w:p>
    <w:p>
      <w:pPr>
        <w:spacing w:after="140" w:before="0" w:line="300"/>
        <w:jc w:val="both"/>
      </w:pPr>
      <w:r>
        <w:rPr>
          <w:rFonts w:ascii="Times New Roman" w:cs="Times New Roman" w:eastAsia="Times New Roman" w:hAnsi="Times New Roman"/>
          <w:sz w:val="22"/>
          <w:szCs w:val="22"/>
        </w:rPr>
        <w:t xml:space="preserve">A secondary observation, recorded for completeness and outside this project’s cryptographic scope: the paper describes its ledger inconsistently — Hyperledger Fabric in Table 3, a Hyperledger Sawtooth validator in Section 3.6, and an adapted permissioned DAG-based ledger in the same section — and its node count varies between fifteen in Section 3.6 and fifty to two hundred elsewhere. A further point of cryptographic substance is that the paper claims forward secrecy while its protocol encapsulates against a long-term, pre-computed KEM public key; forward secrecy requires ephemeral keys, so this claim will be examined explicitly.</w:t>
      </w:r>
    </w:p>
    <w:p>
      <w:pPr>
        <w:pStyle w:val="Heading1"/>
        <w:pBdr>
          <w:bottom w:val="single" w:color="B9C4CE" w:sz="8" w:space="4"/>
        </w:pBdr>
        <w:spacing w:after="150" w:before="300"/>
      </w:pPr>
      <w:r>
        <w:rPr>
          <w:rFonts w:ascii="Calibri" w:cs="Calibri" w:eastAsia="Calibri" w:hAnsi="Calibri"/>
          <w:b/>
          <w:bCs/>
          <w:color w:val="1F3552"/>
          <w:sz w:val="27"/>
          <w:szCs w:val="27"/>
        </w:rPr>
        <w:t xml:space="preserve">4.  Problem Statement</w:t>
      </w:r>
    </w:p>
    <w:p>
      <w:pPr>
        <w:spacing w:after="140" w:before="0" w:line="300"/>
        <w:jc w:val="both"/>
      </w:pPr>
      <w:r>
        <w:rPr>
          <w:rFonts w:ascii="Times New Roman" w:cs="Times New Roman" w:eastAsia="Times New Roman" w:hAnsi="Times New Roman"/>
          <w:sz w:val="22"/>
          <w:szCs w:val="22"/>
        </w:rPr>
        <w:t xml:space="preserve">Post-quantum cryptography is standardised and the architectural question for IoT — which primitives to adopt — is largely settled. The unresolved question is an engineering one: on a genuinely constrained device, what does post-quantum security actually cost, which resource does it exhaust first, and which scheme belongs in which role? Recent frameworks such as PQShield-IoT answer this with simulated latencies produced by an unstated methodology, fix on a single signature scheme, adopt pure post-quantum key exchange with no classical fallback, and omit side-channel analysis entirely. A practitioner reading that literature cannot reproduce its numbers, cannot tell whether computation or bandwidth is the binding constraint, and has no evidence-based basis for selecting a scheme for a Class 1 sensor as opposed to a Class 2 gateway.</w:t>
      </w:r>
    </w:p>
    <w:p>
      <w:pPr>
        <w:spacing w:after="60"/>
      </w:pPr>
    </w:p>
    <w:tbl>
      <w:tblPr>
        <w:tblW w:type="dxa" w:w="9638"/>
        <w:tblBorders>
          <w:top w:val="none"/>
          <w:left w:val="single" w:color="2E5F7C" w:sz="18"/>
          <w:bottom w:val="none"/>
          <w:right w:val="none"/>
          <w:insideH w:val="none"/>
          <w:insideV w:val="none"/>
        </w:tblBorders>
      </w:tblPr>
      <w:tblGrid>
        <w:gridCol w:w="9638"/>
      </w:tblGrid>
      <w:tr>
        <w:tc>
          <w:tcPr>
            <w:tcW w:type="dxa" w:w="9438"/>
            <w:shd w:fill="F5F8FA" w:color="auto" w:val="clear"/>
            <w:tcMar>
              <w:top w:type="dxa" w:w="90"/>
              <w:left w:type="dxa" w:w="110"/>
              <w:bottom w:type="dxa" w:w="90"/>
              <w:right w:type="dxa" w:w="110"/>
            </w:tcMar>
            <w:vAlign w:val="center"/>
          </w:tcPr>
          <w:p>
            <w:pPr>
              <w:spacing w:after="0" w:before="0" w:line="300"/>
              <w:jc w:val="both"/>
            </w:pPr>
            <w:r>
              <w:rPr>
                <w:rFonts w:ascii="Times New Roman" w:cs="Times New Roman" w:eastAsia="Times New Roman" w:hAnsi="Times New Roman"/>
                <w:b/>
                <w:bCs/>
                <w:color w:val="1F3552"/>
                <w:sz w:val="22"/>
                <w:szCs w:val="22"/>
              </w:rPr>
              <w:t xml:space="preserve">Problem statement. </w:t>
            </w:r>
            <w:r>
              <w:rPr>
                <w:rFonts w:ascii="Times New Roman" w:cs="Times New Roman" w:eastAsia="Times New Roman" w:hAnsi="Times New Roman"/>
                <w:sz w:val="22"/>
                <w:szCs w:val="22"/>
              </w:rPr>
              <w:t xml:space="preserve">To establish, by reproducible measurement rather than simulation, the true cost profile of standardised post-quantum cryptography for constrained IoT communication — in time, in bytes on the wire, and in timing-side-channel exposure — across key encapsulation and all three standardised signature families, in pure and hybrid configurations; to test the plausibility of the simulated latencies reported in the literature against measured Cortex-M4 cycle counts by a clock-independent argument; and to convert the result into per-role, per-device-class scheme-selection guidance grounded in RFC 7228.</w:t>
            </w:r>
          </w:p>
        </w:tc>
      </w:tr>
    </w:tbl>
    <w:p>
      <w:pPr>
        <w:spacing w:after="160"/>
      </w:pPr>
    </w:p>
    <w:p>
      <w:pPr>
        <w:spacing w:after="140" w:before="0" w:line="300"/>
        <w:jc w:val="both"/>
      </w:pPr>
      <w:r>
        <w:rPr>
          <w:rFonts w:ascii="Times New Roman" w:cs="Times New Roman" w:eastAsia="Times New Roman" w:hAnsi="Times New Roman"/>
          <w:sz w:val="22"/>
          <w:szCs w:val="22"/>
        </w:rPr>
        <w:t xml:space="preserve">The project is deliberately scoped to the cryptographic layer. The blockchain identity and access-management layer of the base paper is not reimplemented; it is orthogonal to the questions above and is documented as out of scope.</w:t>
      </w:r>
    </w:p>
    <w:p>
      <w:pPr>
        <w:pStyle w:val="Heading1"/>
        <w:pBdr>
          <w:bottom w:val="single" w:color="B9C4CE" w:sz="8" w:space="4"/>
        </w:pBdr>
        <w:spacing w:after="150" w:before="300"/>
      </w:pPr>
      <w:r>
        <w:rPr>
          <w:rFonts w:ascii="Calibri" w:cs="Calibri" w:eastAsia="Calibri" w:hAnsi="Calibri"/>
          <w:b/>
          <w:bCs/>
          <w:color w:val="1F3552"/>
          <w:sz w:val="27"/>
          <w:szCs w:val="27"/>
        </w:rPr>
        <w:t xml:space="preserve">5.  Proposed Contribution</w:t>
      </w:r>
    </w:p>
    <w:p>
      <w:pPr>
        <w:spacing w:after="140" w:before="0" w:line="300"/>
        <w:jc w:val="both"/>
      </w:pPr>
      <w:r>
        <w:rPr>
          <w:rFonts w:ascii="Times New Roman" w:cs="Times New Roman" w:eastAsia="Times New Roman" w:hAnsi="Times New Roman"/>
          <w:sz w:val="22"/>
          <w:szCs w:val="22"/>
        </w:rPr>
        <w:t xml:space="preserve">Five contributions are proposed, mapping one-to-one onto the five gaps identified in Section 3. Every one of them is achievable on commodity laptop hardware together with published constrained-device datasets, which keeps the work reproducible by any examiner.</w:t>
      </w:r>
    </w:p>
    <w:p>
      <w:pPr>
        <w:spacing w:after="80"/>
      </w:pPr>
    </w:p>
    <w:tbl>
      <w:tblPr>
        <w:tblW w:type="dxa" w:w="9638"/>
        <w:tblBorders>
          <w:top w:val="single" w:color="B9C4CE" w:sz="4"/>
          <w:left w:val="single" w:color="B9C4CE" w:sz="4"/>
          <w:bottom w:val="single" w:color="B9C4CE" w:sz="4"/>
          <w:right w:val="single" w:color="B9C4CE" w:sz="4"/>
          <w:insideH w:val="single" w:color="B9C4CE" w:sz="2"/>
          <w:insideV w:val="single" w:color="B9C4CE" w:sz="2"/>
        </w:tblBorders>
      </w:tblPr>
      <w:tblGrid>
        <w:gridCol w:w="700"/>
        <w:gridCol w:w="1750"/>
        <w:gridCol w:w="4400"/>
        <w:gridCol w:w="2788"/>
      </w:tblGrid>
      <w:tr>
        <w:trPr>
          <w:tblHeader/>
        </w:trPr>
        <w:tc>
          <w:tcPr>
            <w:tcW w:type="dxa" w:w="700"/>
            <w:shd w:fill="1F3552"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b/>
                <w:bCs/>
                <w:color w:val="FFFFFF"/>
                <w:sz w:val="19"/>
                <w:szCs w:val="19"/>
              </w:rPr>
              <w:t xml:space="preserve">Gap</w:t>
            </w:r>
          </w:p>
        </w:tc>
        <w:tc>
          <w:tcPr>
            <w:tcW w:type="dxa" w:w="1750"/>
            <w:shd w:fill="1F3552"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b/>
                <w:bCs/>
                <w:color w:val="FFFFFF"/>
                <w:sz w:val="19"/>
                <w:szCs w:val="19"/>
              </w:rPr>
              <w:t xml:space="preserve">Contribution</w:t>
            </w:r>
          </w:p>
        </w:tc>
        <w:tc>
          <w:tcPr>
            <w:tcW w:type="dxa" w:w="4400"/>
            <w:shd w:fill="1F3552"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b/>
                <w:bCs/>
                <w:color w:val="FFFFFF"/>
                <w:sz w:val="19"/>
                <w:szCs w:val="19"/>
              </w:rPr>
              <w:t xml:space="preserve">What will be built and shown</w:t>
            </w:r>
          </w:p>
        </w:tc>
        <w:tc>
          <w:tcPr>
            <w:tcW w:type="dxa" w:w="2788"/>
            <w:shd w:fill="1F3552"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b/>
                <w:bCs/>
                <w:color w:val="FFFFFF"/>
                <w:sz w:val="19"/>
                <w:szCs w:val="19"/>
              </w:rPr>
              <w:t xml:space="preserve">Primary deliverable</w:t>
            </w:r>
          </w:p>
        </w:tc>
      </w:tr>
      <w:tr>
        <w:tc>
          <w:tcPr>
            <w:tcW w:type="dxa" w:w="700"/>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8"/>
                <w:szCs w:val="18"/>
              </w:rPr>
              <w:t xml:space="preserve">G1</w:t>
            </w:r>
          </w:p>
        </w:tc>
        <w:tc>
          <w:tcPr>
            <w:tcW w:type="dxa" w:w="1750"/>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8"/>
                <w:szCs w:val="18"/>
              </w:rPr>
              <w:t xml:space="preserve">Hybrid key-exchange prototype</w:t>
            </w:r>
          </w:p>
        </w:tc>
        <w:tc>
          <w:tcPr>
            <w:tcW w:type="dxa" w:w="4400"/>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8"/>
                <w:szCs w:val="18"/>
              </w:rPr>
              <w:t xml:space="preserve">A socket-based client/server performing a one-round-trip ephemeral key exchange in three modes — pure classical (X25519), pure post-quantum (ML-KEM at two security levels), and hybrid — with the session key derived by a SHA3-256 concatenation combiner over both shared secrets and the full transcript, followed by an AES-256-GCM key-confirmation exchange. The measured question is what the hybrid “insurance” costs in latency and in bytes. Ephemeral keys are used on both legs, which also demonstrates the forward-secrecy property the base paper claims but does not obtain.</w:t>
            </w:r>
          </w:p>
        </w:tc>
        <w:tc>
          <w:tcPr>
            <w:tcW w:type="dxa" w:w="2788"/>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8"/>
                <w:szCs w:val="18"/>
              </w:rPr>
              <w:t xml:space="preserve">Working prototype + latency and bytes-on-wire comparison across five configurations</w:t>
            </w:r>
          </w:p>
        </w:tc>
      </w:tr>
      <w:tr>
        <w:tc>
          <w:tcPr>
            <w:tcW w:type="dxa" w:w="700"/>
            <w:shd w:fill="EDF1F5"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8"/>
                <w:szCs w:val="18"/>
              </w:rPr>
              <w:t xml:space="preserve">G2</w:t>
            </w:r>
          </w:p>
        </w:tc>
        <w:tc>
          <w:tcPr>
            <w:tcW w:type="dxa" w:w="1750"/>
            <w:shd w:fill="EDF1F5"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8"/>
                <w:szCs w:val="18"/>
              </w:rPr>
              <w:t xml:space="preserve">Real benchmark suite replacing simulated latencies</w:t>
            </w:r>
          </w:p>
        </w:tc>
        <w:tc>
          <w:tcPr>
            <w:tcW w:type="dxa" w:w="4400"/>
            <w:shd w:fill="EDF1F5"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8"/>
                <w:szCs w:val="18"/>
              </w:rPr>
              <w:t xml:space="preserve">Timing of key generation, encapsulation and decapsulation for key-encapsulation mechanisms, and of key generation, signing and verification for signature schemes, across roughly sixteen classical and post-quantum schemes, using the same PQClean source the base paper cites, under a stated and reproducible measurement protocol with a recorded environment manifest.</w:t>
            </w:r>
          </w:p>
        </w:tc>
        <w:tc>
          <w:tcPr>
            <w:tcW w:type="dxa" w:w="2788"/>
            <w:shd w:fill="EDF1F5"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8"/>
                <w:szCs w:val="18"/>
              </w:rPr>
              <w:t xml:space="preserve">Per-operation dataset with median, mean, standard deviation and range; documented methodology</w:t>
            </w:r>
          </w:p>
        </w:tc>
      </w:tr>
      <w:tr>
        <w:tc>
          <w:tcPr>
            <w:tcW w:type="dxa" w:w="700"/>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8"/>
                <w:szCs w:val="18"/>
              </w:rPr>
              <w:t xml:space="preserve">G3</w:t>
            </w:r>
          </w:p>
        </w:tc>
        <w:tc>
          <w:tcPr>
            <w:tcW w:type="dxa" w:w="1750"/>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8"/>
                <w:szCs w:val="18"/>
              </w:rPr>
              <w:t xml:space="preserve">Three-family signature comparison</w:t>
            </w:r>
          </w:p>
        </w:tc>
        <w:tc>
          <w:tcPr>
            <w:tcW w:type="dxa" w:w="4400"/>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8"/>
                <w:szCs w:val="18"/>
              </w:rPr>
              <w:t xml:space="preserve">ML-DSA, Falcon and SPHINCS+ compared on time and on size simultaneously, at more than one security level, producing a sign-time-versus-signature-size trade-off space rather than a single ranking, so that role-dependent selection (sign-heavy versus verify-heavy) becomes visible.</w:t>
            </w:r>
          </w:p>
        </w:tc>
        <w:tc>
          <w:tcPr>
            <w:tcW w:type="dxa" w:w="2788"/>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8"/>
                <w:szCs w:val="18"/>
              </w:rPr>
              <w:t xml:space="preserve">Trade-off analysis and figure; role suitability per family</w:t>
            </w:r>
          </w:p>
        </w:tc>
      </w:tr>
      <w:tr>
        <w:tc>
          <w:tcPr>
            <w:tcW w:type="dxa" w:w="700"/>
            <w:shd w:fill="EDF1F5"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8"/>
                <w:szCs w:val="18"/>
              </w:rPr>
              <w:t xml:space="preserve">G4</w:t>
            </w:r>
          </w:p>
        </w:tc>
        <w:tc>
          <w:tcPr>
            <w:tcW w:type="dxa" w:w="1750"/>
            <w:shd w:fill="EDF1F5"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8"/>
                <w:szCs w:val="18"/>
              </w:rPr>
              <w:t xml:space="preserve">Timing side-channel study</w:t>
            </w:r>
          </w:p>
        </w:tc>
        <w:tc>
          <w:tcPr>
            <w:tcW w:type="dxa" w:w="4400"/>
            <w:shd w:fill="EDF1F5"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8"/>
                <w:szCs w:val="18"/>
              </w:rPr>
              <w:t xml:space="preserve">Two experiments. The first demonstrates the classic authentication-tag leak end to end by measuring rejection time against matching-prefix length for a naive early-exit comparison and for a constant-time comparison. The second tests ML-KEM decapsulation for a timing oracle across valid, single-bit-flipped and random ciphertexts. Input classes are interleaved round-robin so that thermal and frequency drift cannot masquerade as a class difference — a non-interleaved control will be run to show that a naive design manufactures a leak that is not there.</w:t>
            </w:r>
          </w:p>
        </w:tc>
        <w:tc>
          <w:tcPr>
            <w:tcW w:type="dxa" w:w="2788"/>
            <w:shd w:fill="EDF1F5"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8"/>
                <w:szCs w:val="18"/>
              </w:rPr>
              <w:t xml:space="preserve">Leak demonstration, oracle verdict with statistics, and a methodological control</w:t>
            </w:r>
          </w:p>
        </w:tc>
      </w:tr>
      <w:tr>
        <w:tc>
          <w:tcPr>
            <w:tcW w:type="dxa" w:w="700"/>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8"/>
                <w:szCs w:val="18"/>
              </w:rPr>
              <w:t xml:space="preserve">G5</w:t>
            </w:r>
          </w:p>
        </w:tc>
        <w:tc>
          <w:tcPr>
            <w:tcW w:type="dxa" w:w="1750"/>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8"/>
                <w:szCs w:val="18"/>
              </w:rPr>
              <w:t xml:space="preserve">Constrained-hardware reality check and device-class matrix</w:t>
            </w:r>
          </w:p>
        </w:tc>
        <w:tc>
          <w:tcPr>
            <w:tcW w:type="dxa" w:w="4400"/>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8"/>
                <w:szCs w:val="18"/>
              </w:rPr>
              <w:t xml:space="preserve">Desktop medians are combined with pqm4’s published clean-implementation Cortex-M4 cycle counts — the same source tree — to estimate on-device cost. The base paper’s reported latencies are then subjected to a clock-independent test: dividing measured cycles by each reported time yields the processor clock that entry would need in order to be a genuine cycle-accurate measurement, and the spread across entries is examined against the single declared device clock. The result feeds an RFC 7228 matrix of scheme against role against device class.</w:t>
            </w:r>
          </w:p>
        </w:tc>
        <w:tc>
          <w:tcPr>
            <w:tcW w:type="dxa" w:w="2788"/>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8"/>
                <w:szCs w:val="18"/>
              </w:rPr>
              <w:t xml:space="preserve">Reality-check table and the scheme-selection matrix</w:t>
            </w:r>
          </w:p>
        </w:tc>
      </w:tr>
    </w:tbl>
    <w:p>
      <w:pPr>
        <w:spacing w:after="140"/>
      </w:pPr>
    </w:p>
    <w:p>
      <w:pPr>
        <w:spacing w:after="140" w:before="0" w:line="300"/>
        <w:jc w:val="both"/>
      </w:pPr>
      <w:r>
        <w:rPr>
          <w:rFonts w:ascii="Times New Roman" w:cs="Times New Roman" w:eastAsia="Times New Roman" w:hAnsi="Times New Roman"/>
          <w:b/>
          <w:bCs/>
          <w:sz w:val="22"/>
          <w:szCs w:val="22"/>
        </w:rPr>
        <w:t xml:space="preserve">Novelty. </w:t>
      </w:r>
      <w:r>
        <w:rPr>
          <w:rFonts w:ascii="Times New Roman" w:cs="Times New Roman" w:eastAsia="Times New Roman" w:hAnsi="Times New Roman"/>
          <w:sz w:val="22"/>
          <w:szCs w:val="22"/>
        </w:rPr>
        <w:t xml:space="preserve">The novelty is not a new cryptographic primitive; it is the substitution of measurement for simulation in a setting where the literature has been reporting unverifiable numbers, combined with a clock-independent consistency test that can be applied to any published latency claim without knowing the author’s hardware. The device-class matrix is the practical artefact that follows from it.</w:t>
      </w:r>
    </w:p>
    <w:p>
      <w:r>
        <w:br w:type="page"/>
      </w:r>
    </w:p>
    <w:p>
      <w:pPr>
        <w:pStyle w:val="Heading1"/>
        <w:pBdr>
          <w:bottom w:val="single" w:color="B9C4CE" w:sz="8" w:space="4"/>
        </w:pBdr>
        <w:spacing w:after="150" w:before="300"/>
      </w:pPr>
      <w:r>
        <w:rPr>
          <w:rFonts w:ascii="Calibri" w:cs="Calibri" w:eastAsia="Calibri" w:hAnsi="Calibri"/>
          <w:b/>
          <w:bCs/>
          <w:color w:val="1F3552"/>
          <w:sz w:val="27"/>
          <w:szCs w:val="27"/>
        </w:rPr>
        <w:t xml:space="preserve">6.  Methodology</w:t>
      </w:r>
    </w:p>
    <w:p>
      <w:pPr>
        <w:spacing w:after="140" w:before="0" w:line="300"/>
        <w:jc w:val="both"/>
      </w:pPr>
      <w:r>
        <w:rPr>
          <w:rFonts w:ascii="Times New Roman" w:cs="Times New Roman" w:eastAsia="Times New Roman" w:hAnsi="Times New Roman"/>
          <w:sz w:val="22"/>
          <w:szCs w:val="22"/>
        </w:rPr>
        <w:t xml:space="preserve">The work is organised as five experimental phases, one per gap, sharing a single controlled measurement harness and feeding a common set of result datasets. Figure 1 shows the overall structure.</w:t>
      </w:r>
    </w:p>
    <w:p>
      <w:pPr>
        <w:spacing w:after="60"/>
      </w:pPr>
    </w:p>
    <w:p>
      <w:pPr>
        <w:spacing w:after="0"/>
        <w:jc w:val="center"/>
      </w:pPr>
      <w:r>
        <w:drawing>
          <wp:inline distT="0" distB="0" distL="0" distR="0">
            <wp:extent cx="6153150"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53150" cy="4419600"/>
                    </a:xfrm>
                    <a:prstGeom prst="rect">
                      <a:avLst/>
                    </a:prstGeom>
                  </pic:spPr>
                </pic:pic>
              </a:graphicData>
            </a:graphic>
          </wp:inline>
        </w:drawing>
      </w:r>
    </w:p>
    <w:p>
      <w:pPr>
        <w:spacing w:after="220" w:before="100"/>
        <w:jc w:val="center"/>
      </w:pPr>
      <w:r>
        <w:rPr>
          <w:rFonts w:ascii="Times New Roman" w:cs="Times New Roman" w:eastAsia="Times New Roman" w:hAnsi="Times New Roman"/>
          <w:i/>
          <w:iCs/>
          <w:color w:val="55606B"/>
          <w:sz w:val="18"/>
          <w:szCs w:val="18"/>
        </w:rPr>
        <w:t xml:space="preserve">Figure 1 — Block diagram of the proposed methodology: from the base paper and its gap register, through the input sources and the five experimental phases, via a shared measurement harness, to the result datasets and the deployment guidance they support.</w:t>
      </w:r>
    </w:p>
    <w:p>
      <w:pPr>
        <w:pStyle w:val="Heading2"/>
        <w:spacing w:after="90" w:before="200"/>
      </w:pPr>
      <w:r>
        <w:rPr>
          <w:rFonts w:ascii="Calibri" w:cs="Calibri" w:eastAsia="Calibri" w:hAnsi="Calibri"/>
          <w:b/>
          <w:bCs/>
          <w:color w:val="2E5F7C"/>
          <w:sz w:val="23"/>
          <w:szCs w:val="23"/>
        </w:rPr>
        <w:t xml:space="preserve">6.1  Inputs and instruments</w:t>
      </w:r>
    </w:p>
    <w:p>
      <w:pPr>
        <w:spacing w:after="140" w:before="0" w:line="300"/>
        <w:jc w:val="both"/>
      </w:pPr>
      <w:r>
        <w:rPr>
          <w:rFonts w:ascii="Times New Roman" w:cs="Times New Roman" w:eastAsia="Times New Roman" w:hAnsi="Times New Roman"/>
          <w:sz w:val="22"/>
          <w:szCs w:val="22"/>
        </w:rPr>
        <w:t xml:space="preserve">Post-quantum primitives are taken from PQClean via its Python binding, in portable C with no AVX2 acceleration. Classical baselines come from OpenSSL through the Python cryptography library, which uses hand-optimised assembly. This asymmetry is deliberate and will be stated in every comparison: because the classical side is optimised and the post-quantum side is not, every classical-versus-post-quantum gap reported is an upper bound on the true cost of post-quantum cryptography. Constrained-device figures come from the pqm4 project’s published Cortex-M4 cycle counts for the clean implementations, which compile the same PQClean source, making the comparison same-codebase. Device classification follows RFC 7228.</w:t>
      </w:r>
    </w:p>
    <w:p>
      <w:pPr>
        <w:pStyle w:val="Heading2"/>
        <w:spacing w:after="90" w:before="200"/>
      </w:pPr>
      <w:r>
        <w:rPr>
          <w:rFonts w:ascii="Calibri" w:cs="Calibri" w:eastAsia="Calibri" w:hAnsi="Calibri"/>
          <w:b/>
          <w:bCs/>
          <w:color w:val="2E5F7C"/>
          <w:sz w:val="23"/>
          <w:szCs w:val="23"/>
        </w:rPr>
        <w:t xml:space="preserve">6.2  Phase 1 — Primitive benchmark suite (addresses G2)</w:t>
      </w:r>
    </w:p>
    <w:p>
      <w:pPr>
        <w:spacing w:after="140" w:before="0" w:line="300"/>
        <w:jc w:val="both"/>
      </w:pPr>
      <w:r>
        <w:rPr>
          <w:rFonts w:ascii="Times New Roman" w:cs="Times New Roman" w:eastAsia="Times New Roman" w:hAnsi="Times New Roman"/>
          <w:sz w:val="22"/>
          <w:szCs w:val="22"/>
        </w:rPr>
        <w:t xml:space="preserve">Each operation is timed with a monotonic nanosecond counter after a time-based warm-up, with the garbage collector disabled inside the timed region. Operations faster than a millisecond are sampled in batches, each sample being the mean of k repetitions with k chosen so that a sample spans at least ten milliseconds; this defeats timer granularity and scheduler quantisation, which would otherwise dominate a sub-microsecond measurement. Calibration rows measure the fixed per-call overhead of the harness itself, so that any effect smaller than that overhead is not reported as a finding. The median is the headline statistic because operating-system noise is one-sided; mean, standard deviation, minimum and maximum are recorded alongside it. Signatures are computed over a 59-byte message, the SUPERCOP and pqm4 convention, so the numbers are comparable with published work. Sizes — public key, secret key, ciphertext or signature, and shared secret — are recorded from the actual objects produced rather than from specification tables, and schemes with variable-length encodings are reported as a distribution.</w:t>
      </w:r>
    </w:p>
    <w:p>
      <w:pPr>
        <w:pStyle w:val="Heading2"/>
        <w:spacing w:after="90" w:before="200"/>
      </w:pPr>
      <w:r>
        <w:rPr>
          <w:rFonts w:ascii="Calibri" w:cs="Calibri" w:eastAsia="Calibri" w:hAnsi="Calibri"/>
          <w:b/>
          <w:bCs/>
          <w:color w:val="2E5F7C"/>
          <w:sz w:val="23"/>
          <w:szCs w:val="23"/>
        </w:rPr>
        <w:t xml:space="preserve">6.3  Phase 2 — Signature family comparison (addresses G3)</w:t>
      </w:r>
    </w:p>
    <w:p>
      <w:pPr>
        <w:spacing w:after="140" w:before="0" w:line="300"/>
        <w:jc w:val="both"/>
      </w:pPr>
      <w:r>
        <w:rPr>
          <w:rFonts w:ascii="Times New Roman" w:cs="Times New Roman" w:eastAsia="Times New Roman" w:hAnsi="Times New Roman"/>
          <w:sz w:val="22"/>
          <w:szCs w:val="22"/>
        </w:rPr>
        <w:t xml:space="preserve">The three standardised families are benchmarked at more than one security level and plotted in a two-dimensional trade-off space of signing time against signature size on logarithmic axes, with verification time reported separately. The purpose of the two-dimensional treatment is that no family dominates: the family that signs fastest is not the family that produces the smallest signature, and a constrained node that only ever verifies has an entirely different optimum from one that signs.</w:t>
      </w:r>
    </w:p>
    <w:p>
      <w:pPr>
        <w:pStyle w:val="Heading2"/>
        <w:spacing w:after="90" w:before="200"/>
      </w:pPr>
      <w:r>
        <w:rPr>
          <w:rFonts w:ascii="Calibri" w:cs="Calibri" w:eastAsia="Calibri" w:hAnsi="Calibri"/>
          <w:b/>
          <w:bCs/>
          <w:color w:val="2E5F7C"/>
          <w:sz w:val="23"/>
          <w:szCs w:val="23"/>
        </w:rPr>
        <w:t xml:space="preserve">6.4  Phase 3 — Hybrid key exchange (addresses G1)</w:t>
      </w:r>
    </w:p>
    <w:p>
      <w:pPr>
        <w:spacing w:after="140" w:before="0" w:line="300"/>
        <w:jc w:val="both"/>
      </w:pPr>
      <w:r>
        <w:rPr>
          <w:rFonts w:ascii="Times New Roman" w:cs="Times New Roman" w:eastAsia="Times New Roman" w:hAnsi="Times New Roman"/>
          <w:sz w:val="22"/>
          <w:szCs w:val="22"/>
        </w:rPr>
        <w:t xml:space="preserve">A length-prefixed TCP client and server perform a one-round-trip exchange in five configurations: classical only, pure post-quantum at two security levels, and hybrid at the same two levels. The session key is derived as a SHA3-256 hash over a domain-separation label, the mode and level, the classical shared secret, the post-quantum shared secret and the full transcript. Modelling SHA3-256 as a random oracle, the derived key is indistinguishable from random while either input secret remains unknown, and including the transcript binds both ciphertexts, which is the condition for a robust combiner. An AES-256-GCM finished message in each direction provides key confirmation and makes the handshake fail closed. Both handshake latency and the exact byte count in each direction are recorded, so the cost of hybrid protection is reported as a concrete byte and millisecond delta rather than as a qualitative claim. Authentication is out of scope: this is an ephemeral unauthenticated key exchange demonstrating establishment and forward secrecy, not a complete authenticated key-exchange protocol.</w:t>
      </w:r>
    </w:p>
    <w:p>
      <w:pPr>
        <w:pStyle w:val="Heading2"/>
        <w:spacing w:after="90" w:before="200"/>
      </w:pPr>
      <w:r>
        <w:rPr>
          <w:rFonts w:ascii="Calibri" w:cs="Calibri" w:eastAsia="Calibri" w:hAnsi="Calibri"/>
          <w:b/>
          <w:bCs/>
          <w:color w:val="2E5F7C"/>
          <w:sz w:val="23"/>
          <w:szCs w:val="23"/>
        </w:rPr>
        <w:t xml:space="preserve">6.5  Phase 4 — Timing side-channel analysis (addresses G4)</w:t>
      </w:r>
    </w:p>
    <w:p>
      <w:pPr>
        <w:spacing w:after="140" w:before="0" w:line="300"/>
        <w:jc w:val="both"/>
      </w:pPr>
      <w:r>
        <w:rPr>
          <w:rFonts w:ascii="Times New Roman" w:cs="Times New Roman" w:eastAsia="Times New Roman" w:hAnsi="Times New Roman"/>
          <w:sz w:val="22"/>
          <w:szCs w:val="22"/>
        </w:rPr>
        <w:t xml:space="preserve">Experiment A measures the rejection time of an authentication-tag comparison as a function of how many leading bytes match, for a naive early-exit loop, for a native memory comparison, and for a constant-time comparison. A monotonic rise in rejection time with matching prefix is exactly what permits byte-by-byte tag recovery, so the verdict is driven by the strength of that trend rather than by a single difference of means. Experiment B tests ML-KEM decapsulation across valid, single-bit-flipped and random ciphertexts. In both experiments the input classes are interleaved round-robin and drawn from pre-generated pools, so that drift in processor frequency or temperature over the run affects all classes equally. A non-interleaved control will be run deliberately, to demonstrate that the naive measurement design reports a statistically significant difference that does not exist — and that collecting more samples under that design would only estimate the biased value more precisely.</w:t>
      </w:r>
    </w:p>
    <w:p>
      <w:pPr>
        <w:pStyle w:val="Heading2"/>
        <w:spacing w:after="90" w:before="200"/>
      </w:pPr>
      <w:r>
        <w:rPr>
          <w:rFonts w:ascii="Calibri" w:cs="Calibri" w:eastAsia="Calibri" w:hAnsi="Calibri"/>
          <w:b/>
          <w:bCs/>
          <w:color w:val="2E5F7C"/>
          <w:sz w:val="23"/>
          <w:szCs w:val="23"/>
        </w:rPr>
        <w:t xml:space="preserve">6.6  Phase 5 — Constrained-hardware extrapolation and device matrix (addresses G5)</w:t>
      </w:r>
    </w:p>
    <w:p>
      <w:pPr>
        <w:spacing w:after="140" w:before="0" w:line="300"/>
        <w:jc w:val="both"/>
      </w:pPr>
      <w:r>
        <w:rPr>
          <w:rFonts w:ascii="Times New Roman" w:cs="Times New Roman" w:eastAsia="Times New Roman" w:hAnsi="Times New Roman"/>
          <w:sz w:val="22"/>
          <w:szCs w:val="22"/>
        </w:rPr>
        <w:t xml:space="preserve">Desktop medians are placed alongside pqm4’s measured Cortex-M4 cycle counts to obtain a desktop-to-device scaling factor per operation. The reality check on the base paper is then performed in a form that does not depend on knowing or assuming any clock: for each reported latency, dividing the measured cycle count by that latency gives the clock frequency the entry would require in order to be a genuine cycle-accurate measurement. Since one device has one clock, a wide spread across entries is evidence that the figures cannot all be measurements, whatever clock is assumed, and the conclusion survives any objection about which frequency the authors intended. The same entries are additionally normalised to the paper’s own declared clock as a cross-check. Finally, latency, peak stack requirement and wire size are combined into a matrix that recommends, for each scheme and role, whether it is suitable for an RFC 7228 Class 0, Class 1 or Class 2 device.</w:t>
      </w:r>
    </w:p>
    <w:p>
      <w:pPr>
        <w:pStyle w:val="Heading2"/>
        <w:spacing w:after="90" w:before="200"/>
      </w:pPr>
      <w:r>
        <w:rPr>
          <w:rFonts w:ascii="Calibri" w:cs="Calibri" w:eastAsia="Calibri" w:hAnsi="Calibri"/>
          <w:b/>
          <w:bCs/>
          <w:color w:val="2E5F7C"/>
          <w:sz w:val="23"/>
          <w:szCs w:val="23"/>
        </w:rPr>
        <w:t xml:space="preserve">6.7  Measurement harness and validity controls</w:t>
      </w:r>
    </w:p>
    <w:p>
      <w:pPr>
        <w:spacing w:after="140" w:before="0" w:line="300"/>
        <w:jc w:val="both"/>
      </w:pPr>
      <w:r>
        <w:rPr>
          <w:rFonts w:ascii="Times New Roman" w:cs="Times New Roman" w:eastAsia="Times New Roman" w:hAnsi="Times New Roman"/>
          <w:sz w:val="22"/>
          <w:szCs w:val="22"/>
        </w:rPr>
        <w:t xml:space="preserve">All phases share the same discipline: the benchmarking process is pinned to a single performance core at raised priority, the machine is run on mains power under a fixed power plan and otherwise idle, and a manifest recording the platform, processor, library versions, sample counts and configuration is written with every run so that any number in the report can be traced to the conditions that produced it. A verification script re-checks every figure quoted in the report against the underlying datasets, and a separate test script asserts the security properties of the handshake, namely that it fails closed on tampering and that the hybrid key genuinely depends on both shared secrets. These controls exist precisely because the central criticism of the base paper is methodological; the project would be self-defeating if its own numbers were not reproducible.</w:t>
      </w:r>
    </w:p>
    <w:p>
      <w:pPr>
        <w:pStyle w:val="Heading1"/>
        <w:pBdr>
          <w:bottom w:val="single" w:color="B9C4CE" w:sz="8" w:space="4"/>
        </w:pBdr>
        <w:spacing w:after="150" w:before="300"/>
      </w:pPr>
      <w:r>
        <w:rPr>
          <w:rFonts w:ascii="Calibri" w:cs="Calibri" w:eastAsia="Calibri" w:hAnsi="Calibri"/>
          <w:b/>
          <w:bCs/>
          <w:color w:val="1F3552"/>
          <w:sz w:val="27"/>
          <w:szCs w:val="27"/>
        </w:rPr>
        <w:t xml:space="preserve">7.  Evaluation Metrics</w:t>
      </w:r>
    </w:p>
    <w:p>
      <w:pPr>
        <w:spacing w:after="140" w:before="0" w:line="300"/>
        <w:jc w:val="both"/>
      </w:pPr>
      <w:r>
        <w:rPr>
          <w:rFonts w:ascii="Times New Roman" w:cs="Times New Roman" w:eastAsia="Times New Roman" w:hAnsi="Times New Roman"/>
          <w:sz w:val="22"/>
          <w:szCs w:val="22"/>
        </w:rPr>
        <w:t xml:space="preserve">The project is evaluated on measured quantities rather than on qualitative claims. The metrics below are grouped by the question each is intended to answer, and each is tied to the decision it supports.</w:t>
      </w:r>
    </w:p>
    <w:p>
      <w:pPr>
        <w:pStyle w:val="Heading2"/>
        <w:spacing w:after="90" w:before="200"/>
      </w:pPr>
      <w:r>
        <w:rPr>
          <w:rFonts w:ascii="Calibri" w:cs="Calibri" w:eastAsia="Calibri" w:hAnsi="Calibri"/>
          <w:b/>
          <w:bCs/>
          <w:color w:val="2E5F7C"/>
          <w:sz w:val="23"/>
          <w:szCs w:val="23"/>
        </w:rPr>
        <w:t xml:space="preserve">7.1  Performance metrics</w:t>
      </w:r>
    </w:p>
    <w:tbl>
      <w:tblPr>
        <w:tblW w:type="dxa" w:w="9638"/>
        <w:tblBorders>
          <w:top w:val="single" w:color="B9C4CE" w:sz="4"/>
          <w:left w:val="single" w:color="B9C4CE" w:sz="4"/>
          <w:bottom w:val="single" w:color="B9C4CE" w:sz="4"/>
          <w:right w:val="single" w:color="B9C4CE" w:sz="4"/>
          <w:insideH w:val="single" w:color="B9C4CE" w:sz="2"/>
          <w:insideV w:val="single" w:color="B9C4CE" w:sz="2"/>
        </w:tblBorders>
      </w:tblPr>
      <w:tblGrid>
        <w:gridCol w:w="2400"/>
        <w:gridCol w:w="2900"/>
        <w:gridCol w:w="4338"/>
      </w:tblGrid>
      <w:tr>
        <w:trPr>
          <w:tblHeader/>
        </w:trPr>
        <w:tc>
          <w:tcPr>
            <w:tcW w:type="dxa" w:w="2400"/>
            <w:shd w:fill="1F3552"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b/>
                <w:bCs/>
                <w:color w:val="FFFFFF"/>
                <w:sz w:val="19"/>
                <w:szCs w:val="19"/>
              </w:rPr>
              <w:t xml:space="preserve">Metric</w:t>
            </w:r>
          </w:p>
        </w:tc>
        <w:tc>
          <w:tcPr>
            <w:tcW w:type="dxa" w:w="2900"/>
            <w:shd w:fill="1F3552"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b/>
                <w:bCs/>
                <w:color w:val="FFFFFF"/>
                <w:sz w:val="19"/>
                <w:szCs w:val="19"/>
              </w:rPr>
              <w:t xml:space="preserve">Definition and unit</w:t>
            </w:r>
          </w:p>
        </w:tc>
        <w:tc>
          <w:tcPr>
            <w:tcW w:type="dxa" w:w="4338"/>
            <w:shd w:fill="1F3552"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b/>
                <w:bCs/>
                <w:color w:val="FFFFFF"/>
                <w:sz w:val="19"/>
                <w:szCs w:val="19"/>
              </w:rPr>
              <w:t xml:space="preserve">Decision it supports</w:t>
            </w:r>
          </w:p>
        </w:tc>
      </w:tr>
      <w:tr>
        <w:tc>
          <w:tcPr>
            <w:tcW w:type="dxa" w:w="2400"/>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9"/>
                <w:szCs w:val="19"/>
              </w:rPr>
              <w:t xml:space="preserve">Per-operation latency</w:t>
            </w:r>
          </w:p>
        </w:tc>
        <w:tc>
          <w:tcPr>
            <w:tcW w:type="dxa" w:w="2900"/>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9"/>
                <w:szCs w:val="19"/>
              </w:rPr>
              <w:t xml:space="preserve">Median wall-clock time per cryptographic operation, in milliseconds, reported with mean, standard deviation, minimum and maximum over the sample set</w:t>
            </w:r>
          </w:p>
        </w:tc>
        <w:tc>
          <w:tcPr>
            <w:tcW w:type="dxa" w:w="4338"/>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9"/>
                <w:szCs w:val="19"/>
              </w:rPr>
              <w:t xml:space="preserve">Whether computation is a binding constraint at all on CPU-class hardware, and how post-quantum schemes rank against classical baselines</w:t>
            </w:r>
          </w:p>
        </w:tc>
      </w:tr>
      <w:tr>
        <w:tc>
          <w:tcPr>
            <w:tcW w:type="dxa" w:w="2400"/>
            <w:shd w:fill="EDF1F5"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9"/>
                <w:szCs w:val="19"/>
              </w:rPr>
              <w:t xml:space="preserve">Sampling quality</w:t>
            </w:r>
          </w:p>
        </w:tc>
        <w:tc>
          <w:tcPr>
            <w:tcW w:type="dxa" w:w="2900"/>
            <w:shd w:fill="EDF1F5"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9"/>
                <w:szCs w:val="19"/>
              </w:rPr>
              <w:t xml:space="preserve">Number of samples, batch factor per sample, and the measured fixed per-call harness overhead, in microseconds</w:t>
            </w:r>
          </w:p>
        </w:tc>
        <w:tc>
          <w:tcPr>
            <w:tcW w:type="dxa" w:w="4338"/>
            <w:shd w:fill="EDF1F5"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9"/>
                <w:szCs w:val="19"/>
              </w:rPr>
              <w:t xml:space="preserve">Establishes that a reported difference exceeds the resolution of the instrument — the control the base paper lacks</w:t>
            </w:r>
          </w:p>
        </w:tc>
      </w:tr>
      <w:tr>
        <w:tc>
          <w:tcPr>
            <w:tcW w:type="dxa" w:w="2400"/>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9"/>
                <w:szCs w:val="19"/>
              </w:rPr>
              <w:t xml:space="preserve">Cortex-M4 cost</w:t>
            </w:r>
          </w:p>
        </w:tc>
        <w:tc>
          <w:tcPr>
            <w:tcW w:type="dxa" w:w="2900"/>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9"/>
                <w:szCs w:val="19"/>
              </w:rPr>
              <w:t xml:space="preserve">Cycle count per operation from pqm4, converted to milliseconds at a stated clock; peak stack usage in bytes</w:t>
            </w:r>
          </w:p>
        </w:tc>
        <w:tc>
          <w:tcPr>
            <w:tcW w:type="dxa" w:w="4338"/>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9"/>
                <w:szCs w:val="19"/>
              </w:rPr>
              <w:t xml:space="preserve">Whether an operation is feasible on a real constrained device, and whether stack rather than time is the binding limit</w:t>
            </w:r>
          </w:p>
        </w:tc>
      </w:tr>
      <w:tr>
        <w:tc>
          <w:tcPr>
            <w:tcW w:type="dxa" w:w="2400"/>
            <w:shd w:fill="EDF1F5"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9"/>
                <w:szCs w:val="19"/>
              </w:rPr>
              <w:t xml:space="preserve">Desktop-to-device factor</w:t>
            </w:r>
          </w:p>
        </w:tc>
        <w:tc>
          <w:tcPr>
            <w:tcW w:type="dxa" w:w="2900"/>
            <w:shd w:fill="EDF1F5"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9"/>
                <w:szCs w:val="19"/>
              </w:rPr>
              <w:t xml:space="preserve">Ratio of Cortex-M4 time to desktop median, dimensionless, per operation</w:t>
            </w:r>
          </w:p>
        </w:tc>
        <w:tc>
          <w:tcPr>
            <w:tcW w:type="dxa" w:w="4338"/>
            <w:shd w:fill="EDF1F5"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9"/>
                <w:szCs w:val="19"/>
              </w:rPr>
              <w:t xml:space="preserve">How far laptop measurements may be extrapolated, and where the extrapolation must not be trusted</w:t>
            </w:r>
          </w:p>
        </w:tc>
      </w:tr>
    </w:tbl>
    <w:p>
      <w:pPr>
        <w:pStyle w:val="Heading2"/>
        <w:spacing w:after="90" w:before="200"/>
      </w:pPr>
      <w:r>
        <w:rPr>
          <w:rFonts w:ascii="Calibri" w:cs="Calibri" w:eastAsia="Calibri" w:hAnsi="Calibri"/>
          <w:b/>
          <w:bCs/>
          <w:color w:val="2E5F7C"/>
          <w:sz w:val="23"/>
          <w:szCs w:val="23"/>
        </w:rPr>
        <w:t xml:space="preserve">7.2  Communication-cost metrics</w:t>
      </w:r>
    </w:p>
    <w:tbl>
      <w:tblPr>
        <w:tblW w:type="dxa" w:w="9638"/>
        <w:tblBorders>
          <w:top w:val="single" w:color="B9C4CE" w:sz="4"/>
          <w:left w:val="single" w:color="B9C4CE" w:sz="4"/>
          <w:bottom w:val="single" w:color="B9C4CE" w:sz="4"/>
          <w:right w:val="single" w:color="B9C4CE" w:sz="4"/>
          <w:insideH w:val="single" w:color="B9C4CE" w:sz="2"/>
          <w:insideV w:val="single" w:color="B9C4CE" w:sz="2"/>
        </w:tblBorders>
      </w:tblPr>
      <w:tblGrid>
        <w:gridCol w:w="2400"/>
        <w:gridCol w:w="2900"/>
        <w:gridCol w:w="4338"/>
      </w:tblGrid>
      <w:tr>
        <w:trPr>
          <w:tblHeader/>
        </w:trPr>
        <w:tc>
          <w:tcPr>
            <w:tcW w:type="dxa" w:w="2400"/>
            <w:shd w:fill="1F3552"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b/>
                <w:bCs/>
                <w:color w:val="FFFFFF"/>
                <w:sz w:val="19"/>
                <w:szCs w:val="19"/>
              </w:rPr>
              <w:t xml:space="preserve">Metric</w:t>
            </w:r>
          </w:p>
        </w:tc>
        <w:tc>
          <w:tcPr>
            <w:tcW w:type="dxa" w:w="2900"/>
            <w:shd w:fill="1F3552"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b/>
                <w:bCs/>
                <w:color w:val="FFFFFF"/>
                <w:sz w:val="19"/>
                <w:szCs w:val="19"/>
              </w:rPr>
              <w:t xml:space="preserve">Definition and unit</w:t>
            </w:r>
          </w:p>
        </w:tc>
        <w:tc>
          <w:tcPr>
            <w:tcW w:type="dxa" w:w="4338"/>
            <w:shd w:fill="1F3552"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b/>
                <w:bCs/>
                <w:color w:val="FFFFFF"/>
                <w:sz w:val="19"/>
                <w:szCs w:val="19"/>
              </w:rPr>
              <w:t xml:space="preserve">Decision it supports</w:t>
            </w:r>
          </w:p>
        </w:tc>
      </w:tr>
      <w:tr>
        <w:tc>
          <w:tcPr>
            <w:tcW w:type="dxa" w:w="2400"/>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9"/>
                <w:szCs w:val="19"/>
              </w:rPr>
              <w:t xml:space="preserve">Object sizes</w:t>
            </w:r>
          </w:p>
        </w:tc>
        <w:tc>
          <w:tcPr>
            <w:tcW w:type="dxa" w:w="2900"/>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9"/>
                <w:szCs w:val="19"/>
              </w:rPr>
              <w:t xml:space="preserve">Public key, secret key, ciphertext or signature, and shared secret, in bytes, measured from the objects actually produced</w:t>
            </w:r>
          </w:p>
        </w:tc>
        <w:tc>
          <w:tcPr>
            <w:tcW w:type="dxa" w:w="4338"/>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9"/>
                <w:szCs w:val="19"/>
              </w:rPr>
              <w:t xml:space="preserve">The true bandwidth cost of each scheme, including variable-length encodings reported as a distribution rather than a maximum</w:t>
            </w:r>
          </w:p>
        </w:tc>
      </w:tr>
      <w:tr>
        <w:tc>
          <w:tcPr>
            <w:tcW w:type="dxa" w:w="2400"/>
            <w:shd w:fill="EDF1F5"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9"/>
                <w:szCs w:val="19"/>
              </w:rPr>
              <w:t xml:space="preserve">Handshake bytes on the wire</w:t>
            </w:r>
          </w:p>
        </w:tc>
        <w:tc>
          <w:tcPr>
            <w:tcW w:type="dxa" w:w="2900"/>
            <w:shd w:fill="EDF1F5"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9"/>
                <w:szCs w:val="19"/>
              </w:rPr>
              <w:t xml:space="preserve">Exact bytes transmitted client-to-server, server-to-client and in total, per handshake configuration</w:t>
            </w:r>
          </w:p>
        </w:tc>
        <w:tc>
          <w:tcPr>
            <w:tcW w:type="dxa" w:w="4338"/>
            <w:shd w:fill="EDF1F5"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9"/>
                <w:szCs w:val="19"/>
              </w:rPr>
              <w:t xml:space="preserve">The end-to-end cost of a key exchange as a deployed protocol rather than as a sum of primitive sizes</w:t>
            </w:r>
          </w:p>
        </w:tc>
      </w:tr>
      <w:tr>
        <w:tc>
          <w:tcPr>
            <w:tcW w:type="dxa" w:w="2400"/>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9"/>
                <w:szCs w:val="19"/>
              </w:rPr>
              <w:t xml:space="preserve">Hybrid overhead</w:t>
            </w:r>
          </w:p>
        </w:tc>
        <w:tc>
          <w:tcPr>
            <w:tcW w:type="dxa" w:w="2900"/>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9"/>
                <w:szCs w:val="19"/>
              </w:rPr>
              <w:t xml:space="preserve">Difference in total bytes and in median latency between the hybrid and the corresponding pure post-quantum configuration</w:t>
            </w:r>
          </w:p>
        </w:tc>
        <w:tc>
          <w:tcPr>
            <w:tcW w:type="dxa" w:w="4338"/>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9"/>
                <w:szCs w:val="19"/>
              </w:rPr>
              <w:t xml:space="preserve">Whether defence in depth against a lattice break is affordable — the direct answer to gap G1</w:t>
            </w:r>
          </w:p>
        </w:tc>
      </w:tr>
      <w:tr>
        <w:tc>
          <w:tcPr>
            <w:tcW w:type="dxa" w:w="2400"/>
            <w:shd w:fill="EDF1F5"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9"/>
                <w:szCs w:val="19"/>
              </w:rPr>
              <w:t xml:space="preserve">Fragmentation factor</w:t>
            </w:r>
          </w:p>
        </w:tc>
        <w:tc>
          <w:tcPr>
            <w:tcW w:type="dxa" w:w="2900"/>
            <w:shd w:fill="EDF1F5"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9"/>
                <w:szCs w:val="19"/>
              </w:rPr>
              <w:t xml:space="preserve">Number of IEEE 802.15.4 frames required to carry each object, given an effective payload of roughly one hundred bytes</w:t>
            </w:r>
          </w:p>
        </w:tc>
        <w:tc>
          <w:tcPr>
            <w:tcW w:type="dxa" w:w="4338"/>
            <w:shd w:fill="EDF1F5"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9"/>
                <w:szCs w:val="19"/>
              </w:rPr>
              <w:t xml:space="preserve">Translates byte counts into radio-level cost, which is what actually consumes energy on a constrained node</w:t>
            </w:r>
          </w:p>
        </w:tc>
      </w:tr>
    </w:tbl>
    <w:p>
      <w:pPr>
        <w:pStyle w:val="Heading2"/>
        <w:spacing w:after="90" w:before="200"/>
      </w:pPr>
      <w:r>
        <w:rPr>
          <w:rFonts w:ascii="Calibri" w:cs="Calibri" w:eastAsia="Calibri" w:hAnsi="Calibri"/>
          <w:b/>
          <w:bCs/>
          <w:color w:val="2E5F7C"/>
          <w:sz w:val="23"/>
          <w:szCs w:val="23"/>
        </w:rPr>
        <w:t xml:space="preserve">7.3  Security and side-channel metrics</w:t>
      </w:r>
    </w:p>
    <w:tbl>
      <w:tblPr>
        <w:tblW w:type="dxa" w:w="9638"/>
        <w:tblBorders>
          <w:top w:val="single" w:color="B9C4CE" w:sz="4"/>
          <w:left w:val="single" w:color="B9C4CE" w:sz="4"/>
          <w:bottom w:val="single" w:color="B9C4CE" w:sz="4"/>
          <w:right w:val="single" w:color="B9C4CE" w:sz="4"/>
          <w:insideH w:val="single" w:color="B9C4CE" w:sz="2"/>
          <w:insideV w:val="single" w:color="B9C4CE" w:sz="2"/>
        </w:tblBorders>
      </w:tblPr>
      <w:tblGrid>
        <w:gridCol w:w="2400"/>
        <w:gridCol w:w="2900"/>
        <w:gridCol w:w="4338"/>
      </w:tblGrid>
      <w:tr>
        <w:trPr>
          <w:tblHeader/>
        </w:trPr>
        <w:tc>
          <w:tcPr>
            <w:tcW w:type="dxa" w:w="2400"/>
            <w:shd w:fill="1F3552"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b/>
                <w:bCs/>
                <w:color w:val="FFFFFF"/>
                <w:sz w:val="19"/>
                <w:szCs w:val="19"/>
              </w:rPr>
              <w:t xml:space="preserve">Metric</w:t>
            </w:r>
          </w:p>
        </w:tc>
        <w:tc>
          <w:tcPr>
            <w:tcW w:type="dxa" w:w="2900"/>
            <w:shd w:fill="1F3552"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b/>
                <w:bCs/>
                <w:color w:val="FFFFFF"/>
                <w:sz w:val="19"/>
                <w:szCs w:val="19"/>
              </w:rPr>
              <w:t xml:space="preserve">Definition and unit</w:t>
            </w:r>
          </w:p>
        </w:tc>
        <w:tc>
          <w:tcPr>
            <w:tcW w:type="dxa" w:w="4338"/>
            <w:shd w:fill="1F3552"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b/>
                <w:bCs/>
                <w:color w:val="FFFFFF"/>
                <w:sz w:val="19"/>
                <w:szCs w:val="19"/>
              </w:rPr>
              <w:t xml:space="preserve">Decision it supports</w:t>
            </w:r>
          </w:p>
        </w:tc>
      </w:tr>
      <w:tr>
        <w:tc>
          <w:tcPr>
            <w:tcW w:type="dxa" w:w="2400"/>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9"/>
                <w:szCs w:val="19"/>
              </w:rPr>
              <w:t xml:space="preserve">Leakage trend</w:t>
            </w:r>
          </w:p>
        </w:tc>
        <w:tc>
          <w:tcPr>
            <w:tcW w:type="dxa" w:w="2900"/>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9"/>
                <w:szCs w:val="19"/>
              </w:rPr>
              <w:t xml:space="preserve">Pearson correlation coefficient between rejection time and matching-prefix length, dimensionless, over the full prefix range</w:t>
            </w:r>
          </w:p>
        </w:tc>
        <w:tc>
          <w:tcPr>
            <w:tcW w:type="dxa" w:w="4338"/>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9"/>
                <w:szCs w:val="19"/>
              </w:rPr>
              <w:t xml:space="preserve">Whether a comparison is exploitable byte by byte; a strong monotonic trend is the signature of an exploitable leak</w:t>
            </w:r>
          </w:p>
        </w:tc>
      </w:tr>
      <w:tr>
        <w:tc>
          <w:tcPr>
            <w:tcW w:type="dxa" w:w="2400"/>
            <w:shd w:fill="EDF1F5"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9"/>
                <w:szCs w:val="19"/>
              </w:rPr>
              <w:t xml:space="preserve">Class separation</w:t>
            </w:r>
          </w:p>
        </w:tc>
        <w:tc>
          <w:tcPr>
            <w:tcW w:type="dxa" w:w="2900"/>
            <w:shd w:fill="EDF1F5"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9"/>
                <w:szCs w:val="19"/>
              </w:rPr>
              <w:t xml:space="preserve">Welch z-statistic between input classes, together with the absolute and percentage difference in median time</w:t>
            </w:r>
          </w:p>
        </w:tc>
        <w:tc>
          <w:tcPr>
            <w:tcW w:type="dxa" w:w="4338"/>
            <w:shd w:fill="EDF1F5"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9"/>
                <w:szCs w:val="19"/>
              </w:rPr>
              <w:t xml:space="preserve">Whether an apparent difference between valid and invalid ciphertexts is statistically meaningful or is noise</w:t>
            </w:r>
          </w:p>
        </w:tc>
      </w:tr>
      <w:tr>
        <w:tc>
          <w:tcPr>
            <w:tcW w:type="dxa" w:w="2400"/>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9"/>
                <w:szCs w:val="19"/>
              </w:rPr>
              <w:t xml:space="preserve">Verdict rule</w:t>
            </w:r>
          </w:p>
        </w:tc>
        <w:tc>
          <w:tcPr>
            <w:tcW w:type="dxa" w:w="2900"/>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9"/>
                <w:szCs w:val="19"/>
              </w:rPr>
              <w:t xml:space="preserve">A leak is declared only when a strong monotonic trend and a significant z-statistic occur together; otherwise the verdict is constant-time at the resolution measured</w:t>
            </w:r>
          </w:p>
        </w:tc>
        <w:tc>
          <w:tcPr>
            <w:tcW w:type="dxa" w:w="4338"/>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9"/>
                <w:szCs w:val="19"/>
              </w:rPr>
              <w:t xml:space="preserve">Prevents a single noisy statistic from producing a false positive in either direction</w:t>
            </w:r>
          </w:p>
        </w:tc>
      </w:tr>
      <w:tr>
        <w:tc>
          <w:tcPr>
            <w:tcW w:type="dxa" w:w="2400"/>
            <w:shd w:fill="EDF1F5"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9"/>
                <w:szCs w:val="19"/>
              </w:rPr>
              <w:t xml:space="preserve">Methodological control</w:t>
            </w:r>
          </w:p>
        </w:tc>
        <w:tc>
          <w:tcPr>
            <w:tcW w:type="dxa" w:w="2900"/>
            <w:shd w:fill="EDF1F5"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9"/>
                <w:szCs w:val="19"/>
              </w:rPr>
              <w:t xml:space="preserve">The same experiment repeated without interleaving, with the resulting spurious z-statistic reported</w:t>
            </w:r>
          </w:p>
        </w:tc>
        <w:tc>
          <w:tcPr>
            <w:tcW w:type="dxa" w:w="4338"/>
            <w:shd w:fill="EDF1F5"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9"/>
                <w:szCs w:val="19"/>
              </w:rPr>
              <w:t xml:space="preserve">Quantifies how much a naive experimental design distorts the conclusion — a result in its own right</w:t>
            </w:r>
          </w:p>
        </w:tc>
      </w:tr>
      <w:tr>
        <w:tc>
          <w:tcPr>
            <w:tcW w:type="dxa" w:w="2400"/>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9"/>
                <w:szCs w:val="19"/>
              </w:rPr>
              <w:t xml:space="preserve">Protocol properties</w:t>
            </w:r>
          </w:p>
        </w:tc>
        <w:tc>
          <w:tcPr>
            <w:tcW w:type="dxa" w:w="2900"/>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9"/>
                <w:szCs w:val="19"/>
              </w:rPr>
              <w:t xml:space="preserve">Forward secrecy (ephemeral keys on both legs), fail-closed behaviour under tampering, and dependence of the derived key on both shared secrets, each asserted by an automated test</w:t>
            </w:r>
          </w:p>
        </w:tc>
        <w:tc>
          <w:tcPr>
            <w:tcW w:type="dxa" w:w="4338"/>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9"/>
                <w:szCs w:val="19"/>
              </w:rPr>
              <w:t xml:space="preserve">Confirms the hybrid construction is a robust combiner and that the handshake improves on the static-key design of the base paper</w:t>
            </w:r>
          </w:p>
        </w:tc>
      </w:tr>
    </w:tbl>
    <w:p>
      <w:pPr>
        <w:pStyle w:val="Heading2"/>
        <w:spacing w:after="90" w:before="200"/>
      </w:pPr>
      <w:r>
        <w:rPr>
          <w:rFonts w:ascii="Calibri" w:cs="Calibri" w:eastAsia="Calibri" w:hAnsi="Calibri"/>
          <w:b/>
          <w:bCs/>
          <w:color w:val="2E5F7C"/>
          <w:sz w:val="23"/>
          <w:szCs w:val="23"/>
        </w:rPr>
        <w:t xml:space="preserve">7.4  Plausibility and reproducibility metrics</w:t>
      </w:r>
    </w:p>
    <w:tbl>
      <w:tblPr>
        <w:tblW w:type="dxa" w:w="9638"/>
        <w:tblBorders>
          <w:top w:val="single" w:color="B9C4CE" w:sz="4"/>
          <w:left w:val="single" w:color="B9C4CE" w:sz="4"/>
          <w:bottom w:val="single" w:color="B9C4CE" w:sz="4"/>
          <w:right w:val="single" w:color="B9C4CE" w:sz="4"/>
          <w:insideH w:val="single" w:color="B9C4CE" w:sz="2"/>
          <w:insideV w:val="single" w:color="B9C4CE" w:sz="2"/>
        </w:tblBorders>
      </w:tblPr>
      <w:tblGrid>
        <w:gridCol w:w="2400"/>
        <w:gridCol w:w="2900"/>
        <w:gridCol w:w="4338"/>
      </w:tblGrid>
      <w:tr>
        <w:trPr>
          <w:tblHeader/>
        </w:trPr>
        <w:tc>
          <w:tcPr>
            <w:tcW w:type="dxa" w:w="2400"/>
            <w:shd w:fill="1F3552"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b/>
                <w:bCs/>
                <w:color w:val="FFFFFF"/>
                <w:sz w:val="19"/>
                <w:szCs w:val="19"/>
              </w:rPr>
              <w:t xml:space="preserve">Metric</w:t>
            </w:r>
          </w:p>
        </w:tc>
        <w:tc>
          <w:tcPr>
            <w:tcW w:type="dxa" w:w="2900"/>
            <w:shd w:fill="1F3552"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b/>
                <w:bCs/>
                <w:color w:val="FFFFFF"/>
                <w:sz w:val="19"/>
                <w:szCs w:val="19"/>
              </w:rPr>
              <w:t xml:space="preserve">Definition and unit</w:t>
            </w:r>
          </w:p>
        </w:tc>
        <w:tc>
          <w:tcPr>
            <w:tcW w:type="dxa" w:w="4338"/>
            <w:shd w:fill="1F3552"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b/>
                <w:bCs/>
                <w:color w:val="FFFFFF"/>
                <w:sz w:val="19"/>
                <w:szCs w:val="19"/>
              </w:rPr>
              <w:t xml:space="preserve">Decision it supports</w:t>
            </w:r>
          </w:p>
        </w:tc>
      </w:tr>
      <w:tr>
        <w:tc>
          <w:tcPr>
            <w:tcW w:type="dxa" w:w="2400"/>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9"/>
                <w:szCs w:val="19"/>
              </w:rPr>
              <w:t xml:space="preserve">Implied clock</w:t>
            </w:r>
          </w:p>
        </w:tc>
        <w:tc>
          <w:tcPr>
            <w:tcW w:type="dxa" w:w="2900"/>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9"/>
                <w:szCs w:val="19"/>
              </w:rPr>
              <w:t xml:space="preserve">Measured Cortex-M4 cycle count divided by the latency reported in the base paper, in megahertz, computed for each reported entry</w:t>
            </w:r>
          </w:p>
        </w:tc>
        <w:tc>
          <w:tcPr>
            <w:tcW w:type="dxa" w:w="4338"/>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9"/>
                <w:szCs w:val="19"/>
              </w:rPr>
              <w:t xml:space="preserve">The clock-independent consistency test: a wide spread across entries of one device shows the figures cannot all be cycle-accurate measurements</w:t>
            </w:r>
          </w:p>
        </w:tc>
      </w:tr>
      <w:tr>
        <w:tc>
          <w:tcPr>
            <w:tcW w:type="dxa" w:w="2400"/>
            <w:shd w:fill="EDF1F5"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9"/>
                <w:szCs w:val="19"/>
              </w:rPr>
              <w:t xml:space="preserve">Normalised ratio</w:t>
            </w:r>
          </w:p>
        </w:tc>
        <w:tc>
          <w:tcPr>
            <w:tcW w:type="dxa" w:w="2900"/>
            <w:shd w:fill="EDF1F5"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9"/>
                <w:szCs w:val="19"/>
              </w:rPr>
              <w:t xml:space="preserve">Reported latency divided by the pqm4 time at the paper’s own declared clock, dimensionless, per operation</w:t>
            </w:r>
          </w:p>
        </w:tc>
        <w:tc>
          <w:tcPr>
            <w:tcW w:type="dxa" w:w="4338"/>
            <w:shd w:fill="EDF1F5"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9"/>
                <w:szCs w:val="19"/>
              </w:rPr>
              <w:t xml:space="preserve">Whether the simulation is optimistic or pessimistic, and whether the deviation is consistent in direction</w:t>
            </w:r>
          </w:p>
        </w:tc>
      </w:tr>
      <w:tr>
        <w:tc>
          <w:tcPr>
            <w:tcW w:type="dxa" w:w="2400"/>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9"/>
                <w:szCs w:val="19"/>
              </w:rPr>
              <w:t xml:space="preserve">Device-class fit</w:t>
            </w:r>
          </w:p>
        </w:tc>
        <w:tc>
          <w:tcPr>
            <w:tcW w:type="dxa" w:w="2900"/>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9"/>
                <w:szCs w:val="19"/>
              </w:rPr>
              <w:t xml:space="preserve">A four-valued judgement — suitable, use with caution, verify-only, or unsuitable — for each scheme and role against RFC 7228 Class 0, 1 and 2, with the binding constraint named</w:t>
            </w:r>
          </w:p>
        </w:tc>
        <w:tc>
          <w:tcPr>
            <w:tcW w:type="dxa" w:w="4338"/>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9"/>
                <w:szCs w:val="19"/>
              </w:rPr>
              <w:t xml:space="preserve">The deliverable guidance: which scheme, in which role, on which class of device</w:t>
            </w:r>
          </w:p>
        </w:tc>
      </w:tr>
      <w:tr>
        <w:tc>
          <w:tcPr>
            <w:tcW w:type="dxa" w:w="2400"/>
            <w:shd w:fill="EDF1F5"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9"/>
                <w:szCs w:val="19"/>
              </w:rPr>
              <w:t xml:space="preserve">Reproducibility</w:t>
            </w:r>
          </w:p>
        </w:tc>
        <w:tc>
          <w:tcPr>
            <w:tcW w:type="dxa" w:w="2900"/>
            <w:shd w:fill="EDF1F5"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9"/>
                <w:szCs w:val="19"/>
              </w:rPr>
              <w:t xml:space="preserve">Proportion of numbers quoted in the report that the automated verifier confirms against the underlying datasets, together with a complete environment manifest per run</w:t>
            </w:r>
          </w:p>
        </w:tc>
        <w:tc>
          <w:tcPr>
            <w:tcW w:type="dxa" w:w="4338"/>
            <w:shd w:fill="EDF1F5"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sz w:val="19"/>
                <w:szCs w:val="19"/>
              </w:rPr>
              <w:t xml:space="preserve">That the project meets the standard it holds the base paper to</w:t>
            </w:r>
          </w:p>
        </w:tc>
      </w:tr>
    </w:tbl>
    <w:p>
      <w:pPr>
        <w:pStyle w:val="Heading1"/>
        <w:pBdr>
          <w:bottom w:val="single" w:color="B9C4CE" w:sz="8" w:space="4"/>
        </w:pBdr>
        <w:spacing w:after="150" w:before="300"/>
      </w:pPr>
      <w:r>
        <w:rPr>
          <w:rFonts w:ascii="Calibri" w:cs="Calibri" w:eastAsia="Calibri" w:hAnsi="Calibri"/>
          <w:b/>
          <w:bCs/>
          <w:color w:val="1F3552"/>
          <w:sz w:val="27"/>
          <w:szCs w:val="27"/>
        </w:rPr>
        <w:t xml:space="preserve">8.  Expected Outcomes and Deliverables</w:t>
      </w:r>
    </w:p>
    <w:p>
      <w:pPr>
        <w:spacing w:after="140" w:before="0" w:line="300"/>
        <w:jc w:val="both"/>
      </w:pPr>
      <w:r>
        <w:rPr>
          <w:rFonts w:ascii="Times New Roman" w:cs="Times New Roman" w:eastAsia="Times New Roman" w:hAnsi="Times New Roman"/>
          <w:sz w:val="22"/>
          <w:szCs w:val="22"/>
        </w:rPr>
        <w:t xml:space="preserve">The project is expected to yield, first, a reproducible dataset of classical and post-quantum primitive costs in both time and bytes, produced under a stated methodology and accompanied by the environment in which it was measured. Second, a working three-mode key-exchange prototype with a quantified answer to what hybrid protection costs. Third, an empirical side-channel result covering both a demonstrated leak and a negative finding, with an explicit account of what black-box wall-clock timing can and cannot detect. Fourth, a clock-independent plausibility assessment of the base paper’s reported latencies. Fifth, a device-class scheme-selection matrix that converts all of the above into deployment guidance.</w:t>
      </w:r>
    </w:p>
    <w:p>
      <w:pPr>
        <w:spacing w:after="80"/>
      </w:pPr>
    </w:p>
    <w:tbl>
      <w:tblPr>
        <w:tblW w:type="dxa" w:w="9638"/>
        <w:tblBorders>
          <w:top w:val="single" w:color="B9C4CE" w:sz="4"/>
          <w:left w:val="single" w:color="B9C4CE" w:sz="4"/>
          <w:bottom w:val="single" w:color="B9C4CE" w:sz="4"/>
          <w:right w:val="single" w:color="B9C4CE" w:sz="4"/>
          <w:insideH w:val="single" w:color="B9C4CE" w:sz="2"/>
          <w:insideV w:val="single" w:color="B9C4CE" w:sz="2"/>
        </w:tblBorders>
      </w:tblPr>
      <w:tblGrid>
        <w:gridCol w:w="2600"/>
        <w:gridCol w:w="7038"/>
      </w:tblGrid>
      <w:tr>
        <w:trPr>
          <w:tblHeader/>
        </w:trPr>
        <w:tc>
          <w:tcPr>
            <w:tcW w:type="dxa" w:w="2600"/>
            <w:shd w:fill="1F3552"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b/>
                <w:bCs/>
                <w:color w:val="FFFFFF"/>
                <w:sz w:val="19"/>
                <w:szCs w:val="19"/>
              </w:rPr>
              <w:t xml:space="preserve">Review</w:t>
            </w:r>
          </w:p>
        </w:tc>
        <w:tc>
          <w:tcPr>
            <w:tcW w:type="dxa" w:w="7038"/>
            <w:shd w:fill="1F3552"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b/>
                <w:bCs/>
                <w:color w:val="FFFFFF"/>
                <w:sz w:val="19"/>
                <w:szCs w:val="19"/>
              </w:rPr>
              <w:t xml:space="preserve">Deliverable</w:t>
            </w:r>
          </w:p>
        </w:tc>
      </w:tr>
      <w:tr>
        <w:tc>
          <w:tcPr>
            <w:tcW w:type="dxa" w:w="2600"/>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b/>
                <w:bCs/>
                <w:sz w:val="20"/>
                <w:szCs w:val="20"/>
              </w:rPr>
              <w:t xml:space="preserve">Review 1</w:t>
            </w:r>
          </w:p>
        </w:tc>
        <w:tc>
          <w:tcPr>
            <w:tcW w:type="dxa" w:w="7038"/>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b w:val="false"/>
                <w:bCs w:val="false"/>
                <w:sz w:val="20"/>
                <w:szCs w:val="20"/>
              </w:rPr>
              <w:t xml:space="preserve">This proposal document, the base paper, the literature survey and the methodology</w:t>
            </w:r>
          </w:p>
        </w:tc>
      </w:tr>
      <w:tr>
        <w:tc>
          <w:tcPr>
            <w:tcW w:type="dxa" w:w="2600"/>
            <w:shd w:fill="EDF1F5"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b/>
                <w:bCs/>
                <w:sz w:val="20"/>
                <w:szCs w:val="20"/>
              </w:rPr>
              <w:t xml:space="preserve">Review 2</w:t>
            </w:r>
          </w:p>
        </w:tc>
        <w:tc>
          <w:tcPr>
            <w:tcW w:type="dxa" w:w="7038"/>
            <w:shd w:fill="EDF1F5" w:color="auto" w:val="clear"/>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b w:val="false"/>
                <w:bCs w:val="false"/>
                <w:sz w:val="20"/>
                <w:szCs w:val="20"/>
              </w:rPr>
              <w:t xml:space="preserve">Implementation of all five phases — benchmark suite, handshake prototype, timing analysis and extrapolation — with intermediate result datasets and figures</w:t>
            </w:r>
          </w:p>
        </w:tc>
      </w:tr>
      <w:tr>
        <w:tc>
          <w:tcPr>
            <w:tcW w:type="dxa" w:w="2600"/>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b/>
                <w:bCs/>
                <w:sz w:val="20"/>
                <w:szCs w:val="20"/>
              </w:rPr>
              <w:t xml:space="preserve">Review 3</w:t>
            </w:r>
          </w:p>
        </w:tc>
        <w:tc>
          <w:tcPr>
            <w:tcW w:type="dxa" w:w="7038"/>
            <w:tcMar>
              <w:top w:type="dxa" w:w="90"/>
              <w:left w:type="dxa" w:w="110"/>
              <w:bottom w:type="dxa" w:w="90"/>
              <w:right w:type="dxa" w:w="110"/>
            </w:tcMar>
            <w:vAlign w:val="center"/>
          </w:tcPr>
          <w:p>
            <w:pPr>
              <w:spacing w:after="0" w:line="250"/>
              <w:jc w:val="left"/>
            </w:pPr>
            <w:r>
              <w:rPr>
                <w:rFonts w:ascii="Times New Roman" w:cs="Times New Roman" w:eastAsia="Times New Roman" w:hAnsi="Times New Roman"/>
                <w:b w:val="false"/>
                <w:bCs w:val="false"/>
                <w:sz w:val="20"/>
                <w:szCs w:val="20"/>
              </w:rPr>
              <w:t xml:space="preserve">Performance analysis and comparison against the base paper and related work, the device-class matrix, and the final report in the prescribed template</w:t>
            </w:r>
          </w:p>
        </w:tc>
      </w:tr>
    </w:tbl>
    <w:p>
      <w:pPr>
        <w:pStyle w:val="Heading2"/>
        <w:spacing w:after="90" w:before="200"/>
      </w:pPr>
      <w:r>
        <w:rPr>
          <w:rFonts w:ascii="Calibri" w:cs="Calibri" w:eastAsia="Calibri" w:hAnsi="Calibri"/>
          <w:b/>
          <w:bCs/>
          <w:color w:val="2E5F7C"/>
          <w:sz w:val="23"/>
          <w:szCs w:val="23"/>
        </w:rPr>
        <w:t xml:space="preserve">8.1  Limitations acknowledged in advance</w:t>
      </w:r>
    </w:p>
    <w:p>
      <w:pPr>
        <w:spacing w:after="140" w:before="0" w:line="300"/>
        <w:jc w:val="both"/>
      </w:pPr>
      <w:r>
        <w:rPr>
          <w:rFonts w:ascii="Times New Roman" w:cs="Times New Roman" w:eastAsia="Times New Roman" w:hAnsi="Times New Roman"/>
          <w:sz w:val="22"/>
          <w:szCs w:val="22"/>
        </w:rPr>
        <w:t xml:space="preserve">Four limitations are stated at the outset rather than discovered at the end. The classical baseline is optimised assembly while the post-quantum side is portable C, so cross-family gaps are upper bounds on post-quantum cost. Desktop wall-clock timing on a consumer machine carries tens of percent of variance even with core pinning, which is why medians and full distributions are reported. Cross-platform millisecond comparisons between a laptop and a microcontroller are indicative only; cycle counts are the exact metric. And the timing analysis is black-box, so it can resolve leaks on the order of hundreds of nanoseconds but not few-cycle effects of the kind KyberSlash exploited, for which instruction-level tooling would be required; no claim of that sensitivity will be made.</w:t>
      </w:r>
    </w:p>
    <w:p>
      <w:pPr>
        <w:pStyle w:val="Heading1"/>
        <w:pBdr>
          <w:bottom w:val="single" w:color="B9C4CE" w:sz="8" w:space="4"/>
        </w:pBdr>
        <w:spacing w:after="150" w:before="300"/>
      </w:pPr>
      <w:r>
        <w:rPr>
          <w:rFonts w:ascii="Calibri" w:cs="Calibri" w:eastAsia="Calibri" w:hAnsi="Calibri"/>
          <w:b/>
          <w:bCs/>
          <w:color w:val="1F3552"/>
          <w:sz w:val="27"/>
          <w:szCs w:val="27"/>
        </w:rPr>
        <w:t xml:space="preserve">9.  References</w:t>
      </w:r>
    </w:p>
    <w:p>
      <w:pPr>
        <w:spacing w:after="90" w:line="280"/>
        <w:ind w:left="460" w:hanging="460"/>
        <w:jc w:val="both"/>
      </w:pPr>
      <w:r>
        <w:rPr>
          <w:rFonts w:ascii="Times New Roman" w:cs="Times New Roman" w:eastAsia="Times New Roman" w:hAnsi="Times New Roman"/>
          <w:sz w:val="20"/>
          <w:szCs w:val="20"/>
        </w:rPr>
        <w:t xml:space="preserve">[1]  S. Narayanan et al., “Quantum-Resilient IoT Communication Framework Using Post-Quantum Cryptography and Blockchain for Secure Edge Devices,” Iranian Journal of Science and Technology, Transactions of Electrical Engineering, vol. 50, pp. 203–221, 2026. DOI: 10.1007/s40998-025-01002-1. [Base paper]</w:t>
      </w:r>
    </w:p>
    <w:p>
      <w:pPr>
        <w:spacing w:after="90" w:line="280"/>
        <w:ind w:left="460" w:hanging="460"/>
        <w:jc w:val="both"/>
      </w:pPr>
      <w:r>
        <w:rPr>
          <w:rFonts w:ascii="Times New Roman" w:cs="Times New Roman" w:eastAsia="Times New Roman" w:hAnsi="Times New Roman"/>
          <w:sz w:val="20"/>
          <w:szCs w:val="20"/>
        </w:rPr>
        <w:t xml:space="preserve">[2]  National Institute of Standards and Technology, FIPS 203: Module-Lattice-Based Key-Encapsulation Mechanism Standard (ML-KEM), 2024.</w:t>
      </w:r>
    </w:p>
    <w:p>
      <w:pPr>
        <w:spacing w:after="90" w:line="280"/>
        <w:ind w:left="460" w:hanging="460"/>
        <w:jc w:val="both"/>
      </w:pPr>
      <w:r>
        <w:rPr>
          <w:rFonts w:ascii="Times New Roman" w:cs="Times New Roman" w:eastAsia="Times New Roman" w:hAnsi="Times New Roman"/>
          <w:sz w:val="20"/>
          <w:szCs w:val="20"/>
        </w:rPr>
        <w:t xml:space="preserve">[3]  National Institute of Standards and Technology, FIPS 204: Module-Lattice-Based Digital Signature Standard (ML-DSA), 2024.</w:t>
      </w:r>
    </w:p>
    <w:p>
      <w:pPr>
        <w:spacing w:after="90" w:line="280"/>
        <w:ind w:left="460" w:hanging="460"/>
        <w:jc w:val="both"/>
      </w:pPr>
      <w:r>
        <w:rPr>
          <w:rFonts w:ascii="Times New Roman" w:cs="Times New Roman" w:eastAsia="Times New Roman" w:hAnsi="Times New Roman"/>
          <w:sz w:val="20"/>
          <w:szCs w:val="20"/>
        </w:rPr>
        <w:t xml:space="preserve">[4]  National Institute of Standards and Technology, FIPS 205: Stateless Hash-Based Digital Signature Standard (SLH-DSA), 2024.</w:t>
      </w:r>
    </w:p>
    <w:p>
      <w:pPr>
        <w:spacing w:after="90" w:line="280"/>
        <w:ind w:left="460" w:hanging="460"/>
        <w:jc w:val="both"/>
      </w:pPr>
      <w:r>
        <w:rPr>
          <w:rFonts w:ascii="Times New Roman" w:cs="Times New Roman" w:eastAsia="Times New Roman" w:hAnsi="Times New Roman"/>
          <w:sz w:val="20"/>
          <w:szCs w:val="20"/>
        </w:rPr>
        <w:t xml:space="preserve">[5]  M. J. Kannwischer et al., pqm4: Post-Quantum Crypto Library for the ARM Cortex-M4. Benchmark dataset of cycle counts, code size and peak stack.</w:t>
      </w:r>
    </w:p>
    <w:p>
      <w:pPr>
        <w:spacing w:after="90" w:line="280"/>
        <w:ind w:left="460" w:hanging="460"/>
        <w:jc w:val="both"/>
      </w:pPr>
      <w:r>
        <w:rPr>
          <w:rFonts w:ascii="Times New Roman" w:cs="Times New Roman" w:eastAsia="Times New Roman" w:hAnsi="Times New Roman"/>
          <w:sz w:val="20"/>
          <w:szCs w:val="20"/>
        </w:rPr>
        <w:t xml:space="preserve">[6]  The PQClean Project, Clean, portable implementations of post-quantum cryptographic schemes.</w:t>
      </w:r>
    </w:p>
    <w:p>
      <w:pPr>
        <w:spacing w:after="90" w:line="280"/>
        <w:ind w:left="460" w:hanging="460"/>
        <w:jc w:val="both"/>
      </w:pPr>
      <w:r>
        <w:rPr>
          <w:rFonts w:ascii="Times New Roman" w:cs="Times New Roman" w:eastAsia="Times New Roman" w:hAnsi="Times New Roman"/>
          <w:sz w:val="20"/>
          <w:szCs w:val="20"/>
        </w:rPr>
        <w:t xml:space="preserve">[7]  IETF, Hybrid Key Exchange in TLS 1.3, and the X25519MLKEM768 key-exchange group.</w:t>
      </w:r>
    </w:p>
    <w:p>
      <w:pPr>
        <w:spacing w:after="90" w:line="280"/>
        <w:ind w:left="460" w:hanging="460"/>
        <w:jc w:val="both"/>
      </w:pPr>
      <w:r>
        <w:rPr>
          <w:rFonts w:ascii="Times New Roman" w:cs="Times New Roman" w:eastAsia="Times New Roman" w:hAnsi="Times New Roman"/>
          <w:sz w:val="20"/>
          <w:szCs w:val="20"/>
        </w:rPr>
        <w:t xml:space="preserve">[8]  F. Giacon, F. Heuer and B. Poettering, “KEM Combiners,” Public-Key Cryptography (PKC), 2018.</w:t>
      </w:r>
    </w:p>
    <w:p>
      <w:pPr>
        <w:spacing w:after="90" w:line="280"/>
        <w:ind w:left="460" w:hanging="460"/>
        <w:jc w:val="both"/>
      </w:pPr>
      <w:r>
        <w:rPr>
          <w:rFonts w:ascii="Times New Roman" w:cs="Times New Roman" w:eastAsia="Times New Roman" w:hAnsi="Times New Roman"/>
          <w:sz w:val="20"/>
          <w:szCs w:val="20"/>
        </w:rPr>
        <w:t xml:space="preserve">[9]  D. J. Bernstein et al., KyberSlash: timing attacks on the reference implementation of Kyber, 2023–2024.</w:t>
      </w:r>
    </w:p>
    <w:p>
      <w:pPr>
        <w:spacing w:after="90" w:line="280"/>
        <w:ind w:left="460" w:hanging="460"/>
        <w:jc w:val="both"/>
      </w:pPr>
      <w:r>
        <w:rPr>
          <w:rFonts w:ascii="Times New Roman" w:cs="Times New Roman" w:eastAsia="Times New Roman" w:hAnsi="Times New Roman"/>
          <w:sz w:val="20"/>
          <w:szCs w:val="20"/>
        </w:rPr>
        <w:t xml:space="preserve">[10]  C. Bormann, M. Ersue and A. Keranen, RFC 7228: Terminology for Constrained-Node Networks, IETF, 2014.</w:t>
      </w:r>
    </w:p>
    <w:p>
      <w:pPr>
        <w:spacing w:after="90" w:line="280"/>
        <w:ind w:left="460" w:hanging="460"/>
        <w:jc w:val="both"/>
      </w:pPr>
      <w:r>
        <w:rPr>
          <w:rFonts w:ascii="Times New Roman" w:cs="Times New Roman" w:eastAsia="Times New Roman" w:hAnsi="Times New Roman"/>
          <w:sz w:val="20"/>
          <w:szCs w:val="20"/>
        </w:rPr>
        <w:t xml:space="preserve">[11]  A. Bozhko et al., “Evaluation of NIST post-quantum algorithms in TLS over Wi-Fi and BLE on an IoT testbed,” 2023.</w:t>
      </w:r>
    </w:p>
    <w:p>
      <w:pPr>
        <w:spacing w:after="90" w:line="280"/>
        <w:ind w:left="460" w:hanging="460"/>
        <w:jc w:val="both"/>
      </w:pPr>
      <w:r>
        <w:rPr>
          <w:rFonts w:ascii="Times New Roman" w:cs="Times New Roman" w:eastAsia="Times New Roman" w:hAnsi="Times New Roman"/>
          <w:sz w:val="20"/>
          <w:szCs w:val="20"/>
        </w:rPr>
        <w:t xml:space="preserve">[12]  Y. Hanna et al., “A realistic evaluation of post-quantum TLS on consumer IoT devices,” 2025.</w:t>
      </w:r>
    </w:p>
    <w:p>
      <w:pPr>
        <w:spacing w:after="90" w:line="280"/>
        <w:ind w:left="460" w:hanging="460"/>
        <w:jc w:val="both"/>
      </w:pPr>
      <w:r>
        <w:rPr>
          <w:rFonts w:ascii="Times New Roman" w:cs="Times New Roman" w:eastAsia="Times New Roman" w:hAnsi="Times New Roman"/>
          <w:sz w:val="20"/>
          <w:szCs w:val="20"/>
        </w:rPr>
        <w:t xml:space="preserve">[13]  M. B. Mollah et al., “STarEdgeChain: permissioned blockchain and edge computing for secure IoT,” 2024.</w:t>
      </w:r>
    </w:p>
    <w:p>
      <w:pPr>
        <w:spacing w:after="90" w:line="280"/>
        <w:ind w:left="460" w:hanging="460"/>
        <w:jc w:val="both"/>
      </w:pPr>
      <w:r>
        <w:rPr>
          <w:rFonts w:ascii="Times New Roman" w:cs="Times New Roman" w:eastAsia="Times New Roman" w:hAnsi="Times New Roman"/>
          <w:sz w:val="20"/>
          <w:szCs w:val="20"/>
        </w:rPr>
        <w:t xml:space="preserve">[14]  P. W. Shor, “Algorithms for quantum computation: discrete logarithms and factoring,” FOCS, 1994.</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4CE" w:sz="4" w:space="6"/>
      </w:pBdr>
      <w:jc w:val="center"/>
    </w:pPr>
    <w:r>
      <w:rPr>
        <w:rFonts w:ascii="Times New Roman" w:cs="Times New Roman" w:eastAsia="Times New Roman" w:hAnsi="Times New Roman"/>
        <w:color w:val="6B7680"/>
        <w:sz w:val="17"/>
        <w:szCs w:val="17"/>
      </w:rPr>
      <w:t xml:space="preserve">CNS Mini Project — Review 1   ·   Rakshit   ·   Page </w:t>
    </w:r>
    <w:r>
      <w:rPr>
        <w:rFonts w:ascii="Times New Roman" w:cs="Times New Roman" w:eastAsia="Times New Roman" w:hAnsi="Times New Roman"/>
        <w:color w:val="6B7680"/>
        <w:sz w:val="17"/>
        <w:szCs w:val="17"/>
      </w:rPr>
      <w:fldChar w:fldCharType="begin"/>
      <w:instrText xml:space="preserve">PAGE</w:instrText>
      <w:fldChar w:fldCharType="separate"/>
      <w:fldChar w:fldCharType="end"/>
    </w:r>
    <w:r>
      <w:rPr>
        <w:rFonts w:ascii="Times New Roman" w:cs="Times New Roman" w:eastAsia="Times New Roman" w:hAnsi="Times New Roman"/>
        <w:color w:val="6B7680"/>
        <w:sz w:val="17"/>
        <w:szCs w:val="17"/>
      </w:rPr>
      <w:t xml:space="preserve"> of </w:t>
    </w:r>
    <w:r>
      <w:rPr>
        <w:rFonts w:ascii="Times New Roman" w:cs="Times New Roman" w:eastAsia="Times New Roman" w:hAnsi="Times New Roman"/>
        <w:color w:val="6B768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af707d351f08901ceb0049b80204e4dd4664c9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CNS Mini Project — Review 1</dc:title>
  <dc:creator>Rakshit</dc:creator>
  <dc:description>Review 1 proposal document</dc:description>
  <cp:lastModifiedBy>Un-named</cp:lastModifiedBy>
  <cp:revision>1</cp:revision>
  <dcterms:created xsi:type="dcterms:W3CDTF">2026-07-29T08:41:32.384Z</dcterms:created>
  <dcterms:modified xsi:type="dcterms:W3CDTF">2026-07-29T08:41:32.384Z</dcterms:modified>
</cp:coreProperties>
</file>

<file path=docProps/custom.xml><?xml version="1.0" encoding="utf-8"?>
<Properties xmlns="http://schemas.openxmlformats.org/officeDocument/2006/custom-properties" xmlns:vt="http://schemas.openxmlformats.org/officeDocument/2006/docPropsVTypes"/>
</file>