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6B7280"/>
          <w:spacing w:val="60"/>
          <w:sz w:val="19"/>
          <w:szCs w:val="19"/>
        </w:rPr>
        <w:t xml:space="preserve">RAVENSTACK SAAS ANALYTICS</w:t>
      </w:r>
    </w:p>
    <w:p>
      <w:pPr>
        <w:pBdr>
          <w:bottom w:val="single" w:color="1E2761" w:sz="8"/>
        </w:pBdr>
        <w:spacing w:after="0"/>
      </w:pPr>
    </w:p>
    <w:p>
      <w:pPr>
        <w:spacing w:after="100" w:before="240"/>
      </w:pPr>
      <w:r>
        <w:rPr>
          <w:rFonts w:ascii="Cambria" w:cs="Cambria" w:eastAsia="Cambria" w:hAnsi="Cambria"/>
          <w:b/>
          <w:bCs/>
          <w:color w:val="1E2761"/>
          <w:sz w:val="64"/>
          <w:szCs w:val="64"/>
        </w:rPr>
        <w:t xml:space="preserve">Executive Summary</w:t>
      </w:r>
    </w:p>
    <w:p>
      <w:pPr>
        <w:spacing w:after="80"/>
      </w:pPr>
      <w:r>
        <w:rPr>
          <w:rFonts w:ascii="Cambria" w:cs="Cambria" w:eastAsia="Cambria" w:hAnsi="Cambria"/>
          <w:i/>
          <w:iCs/>
          <w:color w:val="3A4F9B"/>
          <w:sz w:val="26"/>
          <w:szCs w:val="26"/>
        </w:rPr>
        <w:t xml:space="preserve">Cohort Retention &amp; Customer Lifetime Value — Full Project Report</w:t>
      </w:r>
    </w:p>
    <w:p>
      <w:pPr>
        <w:spacing w:after="400"/>
      </w:pPr>
      <w:r>
        <w:rPr>
          <w:rFonts w:ascii="Calibri" w:cs="Calibri" w:eastAsia="Calibri" w:hAnsi="Calibri"/>
          <w:color w:val="6B7280"/>
          <w:sz w:val="20"/>
          <w:szCs w:val="20"/>
        </w:rPr>
        <w:t xml:space="preserve">Weeks 1–4  |  Prepared by Satya  |  Data Analytics Intern</w:t>
      </w:r>
    </w:p>
    <w:p>
      <w:pPr>
        <w:spacing w:after="80"/>
      </w:pPr>
      <w:r>
        <w:rPr>
          <w:rFonts w:ascii="Calibri" w:cs="Calibri" w:eastAsia="Calibri" w:hAnsi="Calibri"/>
          <w:b/>
          <w:bCs/>
          <w:color w:val="1E2761"/>
          <w:sz w:val="22"/>
          <w:szCs w:val="22"/>
        </w:rPr>
        <w:t xml:space="preserve">Scope: </w:t>
      </w:r>
      <w:r>
        <w:rPr>
          <w:rFonts w:ascii="Calibri" w:cs="Calibri" w:eastAsia="Calibri" w:hAnsi="Calibri"/>
          <w:color w:val="374151"/>
          <w:sz w:val="22"/>
          <w:szCs w:val="22"/>
        </w:rPr>
        <w:t xml:space="preserve">500 customer accounts  •  5,000 subscription records  •  2,000 support tickets  •  600 churn events  •  25,000 feature usage events</w:t>
      </w:r>
    </w:p>
    <w:p>
      <w:pPr>
        <w:spacing w:after="40"/>
      </w:pPr>
      <w:r>
        <w:rPr>
          <w:rFonts w:ascii="Calibri" w:cs="Calibri" w:eastAsia="Calibri" w:hAnsi="Calibri"/>
          <w:b/>
          <w:bCs/>
          <w:color w:val="1E2761"/>
          <w:sz w:val="22"/>
          <w:szCs w:val="22"/>
        </w:rPr>
        <w:t xml:space="preserve">Tools used: </w:t>
      </w:r>
      <w:r>
        <w:rPr>
          <w:rFonts w:ascii="Calibri" w:cs="Calibri" w:eastAsia="Calibri" w:hAnsi="Calibri"/>
          <w:color w:val="374151"/>
          <w:sz w:val="22"/>
          <w:szCs w:val="22"/>
        </w:rPr>
        <w:t xml:space="preserve">Python (pandas, matplotlib, seaborn), Jupyter Notebook, Power BI</w:t>
      </w:r>
    </w:p>
    <w:p>
      <w:pPr>
        <w:spacing w:after="400"/>
      </w:pPr>
      <w:r>
        <w:rPr>
          <w:rFonts w:ascii="Calibri" w:cs="Calibri" w:eastAsia="Calibri" w:hAnsi="Calibri"/>
          <w:b/>
          <w:bCs/>
          <w:color w:val="1E2761"/>
          <w:sz w:val="22"/>
          <w:szCs w:val="22"/>
        </w:rPr>
        <w:t xml:space="preserve">Dataset: </w:t>
      </w:r>
      <w:r>
        <w:rPr>
          <w:rFonts w:ascii="Calibri" w:cs="Calibri" w:eastAsia="Calibri" w:hAnsi="Calibri"/>
          <w:color w:val="374151"/>
          <w:sz w:val="22"/>
          <w:szCs w:val="22"/>
        </w:rPr>
        <w:t xml:space="preserve">RavenStack — synthetic SaaS dataset (5 industries, 7 countries, Jan 2023 – Dec 2024)</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1</w:t>
      </w:r>
    </w:p>
    <w:p>
      <w:pPr>
        <w:pStyle w:val="Heading1"/>
        <w:spacing w:after="100" w:before="260"/>
      </w:pPr>
      <w:r>
        <w:rPr>
          <w:rFonts w:ascii="Cambria" w:cs="Cambria" w:eastAsia="Cambria" w:hAnsi="Cambria"/>
          <w:b/>
          <w:bCs/>
          <w:color w:val="1E2761"/>
          <w:sz w:val="36"/>
          <w:szCs w:val="36"/>
        </w:rPr>
        <w:t xml:space="preserve">Project Overview</w:t>
      </w:r>
    </w:p>
    <w:p>
      <w:pPr>
        <w:spacing w:after="120"/>
        <w:jc w:val="left"/>
      </w:pPr>
      <w:r>
        <w:rPr>
          <w:rFonts w:ascii="Calibri" w:cs="Calibri" w:eastAsia="Calibri" w:hAnsi="Calibri"/>
          <w:color w:val="374151"/>
          <w:sz w:val="22"/>
          <w:szCs w:val="22"/>
        </w:rPr>
        <w:t xml:space="preserve">This report documents the findings of a four-week internship data analytics project conducted on the RavenStack SaaS dataset. The dataset simulates a stealth-mode AI-driven team tools platform piloted with coding bootcamp graduates, with every sign-up, feature use, support ticket, and churn event captured across two years of operation.</w:t>
      </w:r>
    </w:p>
    <w:p>
      <w:pPr>
        <w:spacing w:after="120"/>
        <w:jc w:val="left"/>
      </w:pPr>
      <w:r>
        <w:rPr>
          <w:rFonts w:ascii="Calibri" w:cs="Calibri" w:eastAsia="Calibri" w:hAnsi="Calibri"/>
          <w:color w:val="374151"/>
          <w:sz w:val="22"/>
          <w:szCs w:val="22"/>
        </w:rPr>
        <w:t xml:space="preserve">The project was divided into four sequential phases, each building on the previous week's deliverables. The objective was to move from raw, unvalidated data in Week 1 all the way to actionable business recommendations in Week 4 — producing a complete analytics story that a Product Manager, Finance Director, or Customer Success team could act on immediately.</w:t>
      </w:r>
    </w:p>
    <w:p>
      <w:pPr>
        <w:pStyle w:val="Heading2"/>
        <w:spacing w:after="100" w:before="260"/>
      </w:pPr>
      <w:r>
        <w:rPr>
          <w:rFonts w:ascii="Cambria" w:cs="Cambria" w:eastAsia="Cambria" w:hAnsi="Cambria"/>
          <w:b/>
          <w:bCs/>
          <w:color w:val="1E2761"/>
          <w:sz w:val="28"/>
          <w:szCs w:val="28"/>
        </w:rPr>
        <w:t xml:space="preserve">Four-Week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4560"/>
      </w:tblGrid>
      <w:tr>
        <w:tc>
          <w:tcPr>
            <w:tcW w:type="dxa" w:w="11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Week</w:t>
            </w:r>
          </w:p>
        </w:tc>
        <w:tc>
          <w:tcPr>
            <w:tcW w:type="dxa" w:w="15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Phase</w:t>
            </w:r>
          </w:p>
        </w:tc>
        <w:tc>
          <w:tcPr>
            <w:tcW w:type="dxa" w:w="22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Deliverable</w:t>
            </w:r>
          </w:p>
        </w:tc>
        <w:tc>
          <w:tcPr>
            <w:tcW w:type="dxa" w:w="45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Key Question Answered</w:t>
            </w:r>
          </w:p>
        </w:tc>
      </w:tr>
      <w:tr>
        <w:tc>
          <w:tcPr>
            <w:tcW w:type="dxa" w:w="11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Week 1</w:t>
            </w:r>
          </w:p>
        </w:tc>
        <w:tc>
          <w:tcPr>
            <w:tcW w:type="dxa" w:w="15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Data Cleaning</w:t>
            </w:r>
          </w:p>
        </w:tc>
        <w:tc>
          <w:tcPr>
            <w:tcW w:type="dxa" w:w="22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 verified/clean CSVs</w:t>
            </w:r>
          </w:p>
        </w:tc>
        <w:tc>
          <w:tcPr>
            <w:tcW w:type="dxa" w:w="4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Is the data trustworthy enough to calculate anything?</w:t>
            </w:r>
          </w:p>
        </w:tc>
      </w:tr>
      <w:tr>
        <w:tc>
          <w:tcPr>
            <w:tcW w:type="dxa" w:w="11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Week 2</w:t>
            </w:r>
          </w:p>
        </w:tc>
        <w:tc>
          <w:tcPr>
            <w:tcW w:type="dxa" w:w="15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Cohort Retention</w:t>
            </w:r>
          </w:p>
        </w:tc>
        <w:tc>
          <w:tcPr>
            <w:tcW w:type="dxa" w:w="22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24×24 retention matrix + heatmap</w:t>
            </w:r>
          </w:p>
        </w:tc>
        <w:tc>
          <w:tcPr>
            <w:tcW w:type="dxa" w:w="45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How long do customers stay after signing up?</w:t>
            </w:r>
          </w:p>
        </w:tc>
      </w:tr>
      <w:tr>
        <w:tc>
          <w:tcPr>
            <w:tcW w:type="dxa" w:w="11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Week 3</w:t>
            </w:r>
          </w:p>
        </w:tc>
        <w:tc>
          <w:tcPr>
            <w:tcW w:type="dxa" w:w="15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CLTV Analysis</w:t>
            </w:r>
          </w:p>
        </w:tc>
        <w:tc>
          <w:tcPr>
            <w:tcW w:type="dxa" w:w="22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CLTV by channel + tier + segmentation</w:t>
            </w:r>
          </w:p>
        </w:tc>
        <w:tc>
          <w:tcPr>
            <w:tcW w:type="dxa" w:w="4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How much is each customer actually worth?</w:t>
            </w:r>
          </w:p>
        </w:tc>
      </w:tr>
      <w:tr>
        <w:tc>
          <w:tcPr>
            <w:tcW w:type="dxa" w:w="11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Week 4</w:t>
            </w:r>
          </w:p>
        </w:tc>
        <w:tc>
          <w:tcPr>
            <w:tcW w:type="dxa" w:w="15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Dashboard &amp; Story</w:t>
            </w:r>
          </w:p>
        </w:tc>
        <w:tc>
          <w:tcPr>
            <w:tcW w:type="dxa" w:w="22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Power BI dashboard + this report</w:t>
            </w:r>
          </w:p>
        </w:tc>
        <w:tc>
          <w:tcPr>
            <w:tcW w:type="dxa" w:w="45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What should the business do with these findings?</w:t>
            </w:r>
          </w:p>
        </w:tc>
      </w:tr>
    </w:tbl>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2</w:t>
      </w:r>
    </w:p>
    <w:p>
      <w:pPr>
        <w:pStyle w:val="Heading1"/>
        <w:spacing w:after="100" w:before="260"/>
      </w:pPr>
      <w:r>
        <w:rPr>
          <w:rFonts w:ascii="Cambria" w:cs="Cambria" w:eastAsia="Cambria" w:hAnsi="Cambria"/>
          <w:b/>
          <w:bCs/>
          <w:color w:val="1E2761"/>
          <w:sz w:val="36"/>
          <w:szCs w:val="36"/>
        </w:rPr>
        <w:t xml:space="preserve">Data Foundation — Week 1</w:t>
      </w:r>
    </w:p>
    <w:p>
      <w:pPr>
        <w:spacing w:after="120"/>
        <w:jc w:val="left"/>
      </w:pPr>
      <w:r>
        <w:rPr>
          <w:rFonts w:ascii="Calibri" w:cs="Calibri" w:eastAsia="Calibri" w:hAnsi="Calibri"/>
          <w:color w:val="374151"/>
          <w:sz w:val="22"/>
          <w:szCs w:val="22"/>
        </w:rPr>
        <w:t xml:space="preserve">Before any analytical work could begin, the five dataset files handed off for this project required significant structural correction. The verified/clean files did not match the original documented schema in three consistent ways across all files.</w:t>
      </w:r>
    </w:p>
    <w:p>
      <w:pPr>
        <w:pStyle w:val="Heading2"/>
        <w:spacing w:after="100" w:before="260"/>
      </w:pPr>
      <w:r>
        <w:rPr>
          <w:rFonts w:ascii="Cambria" w:cs="Cambria" w:eastAsia="Cambria" w:hAnsi="Cambria"/>
          <w:b/>
          <w:bCs/>
          <w:color w:val="1E2761"/>
          <w:sz w:val="28"/>
          <w:szCs w:val="28"/>
        </w:rPr>
        <w:t xml:space="preserve">Issues Found and Fixed</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Missing header row — all five CSVs had their column names stripped during export. The first row of actual data was being read as column headers by default. Fixed by supplying column names manually at load time using the original schema documentation.</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Embedded carriage-return characters — every string field across all five files contained a stray \r character baked inside the quoted value itself (not just a line-ending issue). This caused groupby and merge operations to silently fail or produce mismatched keys. Fixed by stripping \r from every text column after loading.</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Reordered columns in subscriptions — the end_date column had been moved from its documented position to the very last column, with null values written as the literal string \N instead of being left blank. Fixed using na_values=['\\N'] at load time and supplying the corrected column order manually.</w:t>
      </w:r>
    </w:p>
    <w:p>
      <w:pPr>
        <w:spacing w:after="160"/>
      </w:pPr>
    </w:p>
    <w:p>
      <w:pPr>
        <w:spacing w:after="120"/>
        <w:jc w:val="left"/>
      </w:pPr>
      <w:r>
        <w:rPr>
          <w:rFonts w:ascii="Calibri" w:cs="Calibri" w:eastAsia="Calibri" w:hAnsi="Calibri"/>
          <w:b/>
          <w:bCs/>
          <w:color w:val="1E2761"/>
          <w:sz w:val="22"/>
          <w:szCs w:val="22"/>
        </w:rPr>
        <w:t xml:space="preserve">Validation result after fixes: </w:t>
      </w:r>
      <w:r>
        <w:rPr>
          <w:rFonts w:ascii="Calibri" w:cs="Calibri" w:eastAsia="Calibri" w:hAnsi="Calibri"/>
          <w:color w:val="374151"/>
          <w:sz w:val="22"/>
          <w:szCs w:val="22"/>
        </w:rPr>
        <w:t xml:space="preserve">Row counts matched the README exactly across all five files — 500 accounts, 5,000 subscriptions, 600 churn events, 25,000 feature usage records, and 2,000 support tickets. Zero negative lifespans and zero unmatched account merges were found after the corrections.</w:t>
      </w:r>
    </w:p>
    <w:p>
      <w:pPr>
        <w:pStyle w:val="Heading2"/>
        <w:spacing w:after="100" w:before="260"/>
      </w:pPr>
      <w:r>
        <w:rPr>
          <w:rFonts w:ascii="Cambria" w:cs="Cambria" w:eastAsia="Cambria" w:hAnsi="Cambria"/>
          <w:b/>
          <w:bCs/>
          <w:color w:val="1E2761"/>
          <w:sz w:val="28"/>
          <w:szCs w:val="28"/>
        </w:rPr>
        <w:t xml:space="preserve">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Dimension</w:t>
            </w:r>
          </w:p>
        </w:tc>
        <w:tc>
          <w:tcPr>
            <w:tcW w:type="dxa" w:w="71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Breakdown</w:t>
            </w:r>
          </w:p>
        </w:tc>
      </w:tr>
      <w:tr>
        <w:tc>
          <w:tcPr>
            <w:tcW w:type="dxa" w:w="22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Plan tiers</w:t>
            </w:r>
          </w:p>
        </w:tc>
        <w:tc>
          <w:tcPr>
            <w:tcW w:type="dxa" w:w="71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Pro: 178 accounts (35.6%)  •  Basic: 168 (33.6%)  •  Enterprise: 154 (30.8%)</w:t>
            </w:r>
          </w:p>
        </w:tc>
      </w:tr>
      <w:tr>
        <w:tc>
          <w:tcPr>
            <w:tcW w:type="dxa" w:w="22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Industries</w:t>
            </w:r>
          </w:p>
        </w:tc>
        <w:tc>
          <w:tcPr>
            <w:tcW w:type="dxa" w:w="71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DevTools: 113  •  FinTech: 112  •  Cybersecurity: 100  •  HealthTech: 96  •  EdTech: 79</w:t>
            </w:r>
          </w:p>
        </w:tc>
      </w:tr>
      <w:tr>
        <w:tc>
          <w:tcPr>
            <w:tcW w:type="dxa" w:w="22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Acquisition channels</w:t>
            </w:r>
          </w:p>
        </w:tc>
        <w:tc>
          <w:tcPr>
            <w:tcW w:type="dxa" w:w="71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Organic: 114  •  Other: 103  •  Ads: 98  •  Event: 96  •  Partner: 89</w:t>
            </w:r>
          </w:p>
        </w:tc>
      </w:tr>
      <w:tr>
        <w:tc>
          <w:tcPr>
            <w:tcW w:type="dxa" w:w="22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Geography</w:t>
            </w:r>
          </w:p>
        </w:tc>
        <w:tc>
          <w:tcPr>
            <w:tcW w:type="dxa" w:w="71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7 countries represented</w:t>
            </w:r>
          </w:p>
        </w:tc>
      </w:tr>
      <w:tr>
        <w:tc>
          <w:tcPr>
            <w:tcW w:type="dxa" w:w="22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Feature pool</w:t>
            </w:r>
          </w:p>
        </w:tc>
        <w:tc>
          <w:tcPr>
            <w:tcW w:type="dxa" w:w="71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40 unique features tracked across 25,000 usage events</w:t>
            </w:r>
          </w:p>
        </w:tc>
      </w:tr>
      <w:tr>
        <w:tc>
          <w:tcPr>
            <w:tcW w:type="dxa" w:w="22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Time span</w:t>
            </w:r>
          </w:p>
        </w:tc>
        <w:tc>
          <w:tcPr>
            <w:tcW w:type="dxa" w:w="71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January 2023 – December 2024 (24 cohort months)</w:t>
            </w:r>
          </w:p>
        </w:tc>
      </w:tr>
    </w:tbl>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3</w:t>
      </w:r>
    </w:p>
    <w:p>
      <w:pPr>
        <w:pStyle w:val="Heading1"/>
        <w:spacing w:after="100" w:before="260"/>
      </w:pPr>
      <w:r>
        <w:rPr>
          <w:rFonts w:ascii="Cambria" w:cs="Cambria" w:eastAsia="Cambria" w:hAnsi="Cambria"/>
          <w:b/>
          <w:bCs/>
          <w:color w:val="1E2761"/>
          <w:sz w:val="36"/>
          <w:szCs w:val="36"/>
        </w:rPr>
        <w:t xml:space="preserve">Cohort Retention Analysis — Week 2</w:t>
      </w:r>
    </w:p>
    <w:p>
      <w:pPr>
        <w:spacing w:after="120"/>
        <w:jc w:val="left"/>
      </w:pPr>
      <w:r>
        <w:rPr>
          <w:rFonts w:ascii="Calibri" w:cs="Calibri" w:eastAsia="Calibri" w:hAnsi="Calibri"/>
          <w:color w:val="374151"/>
          <w:sz w:val="22"/>
          <w:szCs w:val="22"/>
        </w:rPr>
        <w:t xml:space="preserve">The cohort retention analysis grouped all 500 customers by the month they first subscribed and tracked how many remained active in each subsequent month. This produced a 24×24 retention matrix — 24 acquisition cohorts (January 2023 through December 2024) tracked across up to 23 subsequent months.</w:t>
      </w:r>
    </w:p>
    <w:p>
      <w:pPr>
        <w:pStyle w:val="Heading2"/>
        <w:spacing w:after="100" w:before="260"/>
      </w:pPr>
      <w:r>
        <w:rPr>
          <w:rFonts w:ascii="Cambria" w:cs="Cambria" w:eastAsia="Cambria" w:hAnsi="Cambria"/>
          <w:b/>
          <w:bCs/>
          <w:color w:val="1E2761"/>
          <w:sz w:val="28"/>
          <w:szCs w:val="28"/>
        </w:rPr>
        <w:t xml:space="preserve">Key Retention Findings</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Month 0 retention is consistently close to 100% across all 24 cohorts, confirming the data is correctly structured and the baseline is valid.</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The steepest drop in customer activity occurs between Month 0 and Month 1 — approximately 40% of customers who signed up in any given cohort month did not return in the following month. This pattern is consistent regardless of when the customer signed up.</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Retention stabilises significantly after Month 3. Customers who remain active past Month 3 show a much lower probability of churning in subsequent months — suggesting that the first three months are the make-or-break window for long-term customer relationships.</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No single acquisition cohort significantly outperforms the others. The drop-off pattern is consistent across all 24 cohorts, indicating this is a product-level or onboarding-level problem rather than one specific to a particular time period or campaign.</w:t>
      </w:r>
    </w:p>
    <w:p>
      <w:pPr>
        <w:spacing w:after="160"/>
      </w:pPr>
    </w:p>
    <w:p>
      <w:pPr>
        <w:spacing w:after="120"/>
      </w:pPr>
      <w:r>
        <w:rPr>
          <w:rFonts w:ascii="Calibri" w:cs="Calibri" w:eastAsia="Calibri" w:hAnsi="Calibri"/>
          <w:b/>
          <w:bCs/>
          <w:color w:val="991B1B"/>
          <w:sz w:val="22"/>
          <w:szCs w:val="22"/>
        </w:rPr>
        <w:t xml:space="preserve">Critical implication: </w:t>
      </w:r>
      <w:r>
        <w:rPr>
          <w:rFonts w:ascii="Calibri" w:cs="Calibri" w:eastAsia="Calibri" w:hAnsi="Calibri"/>
          <w:color w:val="374151"/>
          <w:sz w:val="22"/>
          <w:szCs w:val="22"/>
        </w:rPr>
        <w:t xml:space="preserve">the Month 1–2 window is the highest-leverage point in the entire customer lifecycle. Any intervention — automated onboarding sequences, check-in calls, feature walkthroughs — must be timed to reach customers before Month 1, not after they have already disengaged.</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4</w:t>
      </w:r>
    </w:p>
    <w:p>
      <w:pPr>
        <w:pStyle w:val="Heading1"/>
        <w:spacing w:after="100" w:before="260"/>
      </w:pPr>
      <w:r>
        <w:rPr>
          <w:rFonts w:ascii="Cambria" w:cs="Cambria" w:eastAsia="Cambria" w:hAnsi="Cambria"/>
          <w:b/>
          <w:bCs/>
          <w:color w:val="1E2761"/>
          <w:sz w:val="36"/>
          <w:szCs w:val="36"/>
        </w:rPr>
        <w:t xml:space="preserve">Customer Lifetime Value Analysis — Week 3</w:t>
      </w:r>
    </w:p>
    <w:p>
      <w:pPr>
        <w:spacing w:after="120"/>
        <w:jc w:val="left"/>
      </w:pPr>
      <w:r>
        <w:rPr>
          <w:rFonts w:ascii="Calibri" w:cs="Calibri" w:eastAsia="Calibri" w:hAnsi="Calibri"/>
          <w:color w:val="374151"/>
          <w:sz w:val="22"/>
          <w:szCs w:val="22"/>
        </w:rPr>
        <w:t xml:space="preserve">Customer Lifetime Value (CLTV) was calculated using the standard formula:</w:t>
      </w:r>
      <w:r>
        <w:rPr>
          <w:rFonts w:ascii="Calibri" w:cs="Calibri" w:eastAsia="Calibri" w:hAnsi="Calibri"/>
          <w:b/>
          <w:bCs/>
          <w:color w:val="1E2761"/>
          <w:sz w:val="22"/>
          <w:szCs w:val="22"/>
        </w:rPr>
        <w:t xml:space="preserve">  CLTV = Average Order Value × Purchase Frequency × Average Customer Lifespan</w:t>
      </w:r>
      <w:r>
        <w:rPr>
          <w:rFonts w:ascii="Calibri" w:cs="Calibri" w:eastAsia="Calibri" w:hAnsi="Calibri"/>
          <w:color w:val="374151"/>
          <w:sz w:val="22"/>
          <w:szCs w:val="22"/>
        </w:rPr>
        <w:t xml:space="preserve">. All three inputs were computed from the subscription records and applied separately by acquisition channel and by plan tier.</w:t>
      </w:r>
    </w:p>
    <w:p>
      <w:pPr>
        <w:pStyle w:val="Heading2"/>
        <w:spacing w:after="100" w:before="260"/>
      </w:pPr>
      <w:r>
        <w:rPr>
          <w:rFonts w:ascii="Cambria" w:cs="Cambria" w:eastAsia="Cambria" w:hAnsi="Cambria"/>
          <w:b/>
          <w:bCs/>
          <w:color w:val="1E2761"/>
          <w:sz w:val="28"/>
          <w:szCs w:val="28"/>
        </w:rPr>
        <w:t xml:space="preserve">CLTV by Acquisition Channel</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2060"/>
        <w:gridCol w:w="1800"/>
      </w:tblGrid>
      <w:tr>
        <w:tc>
          <w:tcPr>
            <w:tcW w:type="dxa" w:w="16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Channel</w:t>
            </w:r>
          </w:p>
        </w:tc>
        <w:tc>
          <w:tcPr>
            <w:tcW w:type="dxa" w:w="15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MRR</w:t>
            </w:r>
          </w:p>
        </w:tc>
        <w:tc>
          <w:tcPr>
            <w:tcW w:type="dxa" w:w="17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Purchase Freq</w:t>
            </w:r>
          </w:p>
        </w:tc>
        <w:tc>
          <w:tcPr>
            <w:tcW w:type="dxa" w:w="20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Lifespan (mo)</w:t>
            </w:r>
          </w:p>
        </w:tc>
        <w:tc>
          <w:tcPr>
            <w:tcW w:type="dxa" w:w="18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CLTV</w:t>
            </w:r>
          </w:p>
        </w:tc>
      </w:tr>
      <w:tr>
        <w:tc>
          <w:tcPr>
            <w:tcW w:type="dxa" w:w="16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Partner</w:t>
            </w:r>
          </w:p>
        </w:tc>
        <w:tc>
          <w:tcPr>
            <w:tcW w:type="dxa" w:w="15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$2,363.71</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9.96</w:t>
            </w:r>
          </w:p>
        </w:tc>
        <w:tc>
          <w:tcPr>
            <w:tcW w:type="dxa" w:w="20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22.20</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$522,502</w:t>
            </w:r>
          </w:p>
        </w:tc>
      </w:tr>
      <w:tr>
        <w:tc>
          <w:tcPr>
            <w:tcW w:type="dxa" w:w="16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Organic</w:t>
            </w:r>
          </w:p>
        </w:tc>
        <w:tc>
          <w:tcPr>
            <w:tcW w:type="dxa" w:w="15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$2,392.06</w:t>
            </w:r>
          </w:p>
        </w:tc>
        <w:tc>
          <w:tcPr>
            <w:tcW w:type="dxa" w:w="17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10.26</w:t>
            </w:r>
          </w:p>
        </w:tc>
        <w:tc>
          <w:tcPr>
            <w:tcW w:type="dxa" w:w="20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20.92</w:t>
            </w:r>
          </w:p>
        </w:tc>
        <w:tc>
          <w:tcPr>
            <w:tcW w:type="dxa" w:w="18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$513,706</w:t>
            </w:r>
          </w:p>
        </w:tc>
      </w:tr>
      <w:tr>
        <w:tc>
          <w:tcPr>
            <w:tcW w:type="dxa" w:w="16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Other</w:t>
            </w:r>
          </w:p>
        </w:tc>
        <w:tc>
          <w:tcPr>
            <w:tcW w:type="dxa" w:w="15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$2,315.22</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9.97</w:t>
            </w:r>
          </w:p>
        </w:tc>
        <w:tc>
          <w:tcPr>
            <w:tcW w:type="dxa" w:w="20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21.72</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$501,442</w:t>
            </w:r>
          </w:p>
        </w:tc>
      </w:tr>
      <w:tr>
        <w:tc>
          <w:tcPr>
            <w:tcW w:type="dxa" w:w="16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Ads</w:t>
            </w:r>
          </w:p>
        </w:tc>
        <w:tc>
          <w:tcPr>
            <w:tcW w:type="dxa" w:w="15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$2,146.62</w:t>
            </w:r>
          </w:p>
        </w:tc>
        <w:tc>
          <w:tcPr>
            <w:tcW w:type="dxa" w:w="17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10.20</w:t>
            </w:r>
          </w:p>
        </w:tc>
        <w:tc>
          <w:tcPr>
            <w:tcW w:type="dxa" w:w="20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21.96</w:t>
            </w:r>
          </w:p>
        </w:tc>
        <w:tc>
          <w:tcPr>
            <w:tcW w:type="dxa" w:w="18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$480,958</w:t>
            </w:r>
          </w:p>
        </w:tc>
      </w:tr>
      <w:tr>
        <w:tc>
          <w:tcPr>
            <w:tcW w:type="dxa" w:w="16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Event</w:t>
            </w:r>
          </w:p>
        </w:tc>
        <w:tc>
          <w:tcPr>
            <w:tcW w:type="dxa" w:w="15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$2,095.37</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9.55</w:t>
            </w:r>
          </w:p>
        </w:tc>
        <w:tc>
          <w:tcPr>
            <w:tcW w:type="dxa" w:w="20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21.51</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$430,438</w:t>
            </w:r>
          </w:p>
        </w:tc>
      </w:tr>
    </w:tbl>
    <w:p>
      <w:pPr>
        <w:spacing w:after="160"/>
      </w:pPr>
    </w:p>
    <w:p>
      <w:pPr>
        <w:spacing w:after="120"/>
        <w:jc w:val="left"/>
      </w:pPr>
      <w:r>
        <w:rPr>
          <w:rFonts w:ascii="Calibri" w:cs="Calibri" w:eastAsia="Calibri" w:hAnsi="Calibri"/>
          <w:b/>
          <w:bCs/>
          <w:color w:val="1E2761"/>
          <w:sz w:val="22"/>
          <w:szCs w:val="22"/>
        </w:rPr>
        <w:t xml:space="preserve">Key finding: </w:t>
      </w:r>
      <w:r>
        <w:rPr>
          <w:rFonts w:ascii="Calibri" w:cs="Calibri" w:eastAsia="Calibri" w:hAnsi="Calibri"/>
          <w:color w:val="374151"/>
          <w:sz w:val="22"/>
          <w:szCs w:val="22"/>
        </w:rPr>
        <w:t xml:space="preserve">Partner-referred customers generate the highest CLTV ($522,502) despite not having the highest monthly revenue. Organic customers actually pay slightly more per month ($2,392 vs $2,364) and subscribe more frequently (10.26 vs 9.96 times per account). The partner channel wins on CLTV purely through retention — partner customers stay for an average of 22.20 months versus 20.92 months for organic. The gap between the highest (partner) and lowest (event) channel is $92,064 per customer — a 21.4% CLTV premium that cannot be explained by pricing or frequency alone.</w:t>
      </w:r>
    </w:p>
    <w:p>
      <w:pPr>
        <w:pStyle w:val="Heading2"/>
        <w:spacing w:after="100" w:before="260"/>
      </w:pPr>
      <w:r>
        <w:rPr>
          <w:rFonts w:ascii="Cambria" w:cs="Cambria" w:eastAsia="Cambria" w:hAnsi="Cambria"/>
          <w:b/>
          <w:bCs/>
          <w:color w:val="1E2761"/>
          <w:sz w:val="28"/>
          <w:szCs w:val="28"/>
        </w:rPr>
        <w:t xml:space="preserve">CLTV by Plan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800"/>
        <w:gridCol w:w="1600"/>
        <w:gridCol w:w="1560"/>
      </w:tblGrid>
      <w:tr>
        <w:tc>
          <w:tcPr>
            <w:tcW w:type="dxa" w:w="14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Plan Tier</w:t>
            </w:r>
          </w:p>
        </w:tc>
        <w:tc>
          <w:tcPr>
            <w:tcW w:type="dxa" w:w="14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MRR</w:t>
            </w:r>
          </w:p>
        </w:tc>
        <w:tc>
          <w:tcPr>
            <w:tcW w:type="dxa" w:w="16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Purchase Freq</w:t>
            </w:r>
          </w:p>
        </w:tc>
        <w:tc>
          <w:tcPr>
            <w:tcW w:type="dxa" w:w="18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Lifespan (mo)</w:t>
            </w:r>
          </w:p>
        </w:tc>
        <w:tc>
          <w:tcPr>
            <w:tcW w:type="dxa" w:w="16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CLTV</w:t>
            </w:r>
          </w:p>
        </w:tc>
        <w:tc>
          <w:tcPr>
            <w:tcW w:type="dxa" w:w="15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 of Total MRR</w:t>
            </w:r>
          </w:p>
        </w:tc>
      </w:tr>
      <w:tr>
        <w:tc>
          <w:tcPr>
            <w:tcW w:type="dxa" w:w="14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Enterprise</w:t>
            </w:r>
          </w:p>
        </w:tc>
        <w:tc>
          <w:tcPr>
            <w:tcW w:type="dxa" w:w="1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$4,917.71</w:t>
            </w:r>
          </w:p>
        </w:tc>
        <w:tc>
          <w:tcPr>
            <w:tcW w:type="dxa" w:w="16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3.60</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21.28</w:t>
            </w:r>
          </w:p>
        </w:tc>
        <w:tc>
          <w:tcPr>
            <w:tcW w:type="dxa" w:w="16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$379,533</w:t>
            </w:r>
          </w:p>
        </w:tc>
        <w:tc>
          <w:tcPr>
            <w:tcW w:type="dxa" w:w="1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74.7%</w:t>
            </w:r>
          </w:p>
        </w:tc>
      </w:tr>
      <w:tr>
        <w:tc>
          <w:tcPr>
            <w:tcW w:type="dxa" w:w="14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Pro</w:t>
            </w:r>
          </w:p>
        </w:tc>
        <w:tc>
          <w:tcPr>
            <w:tcW w:type="dxa" w:w="14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$1,256.77</w:t>
            </w:r>
          </w:p>
        </w:tc>
        <w:tc>
          <w:tcPr>
            <w:tcW w:type="dxa" w:w="16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3.53</w:t>
            </w:r>
          </w:p>
        </w:tc>
        <w:tc>
          <w:tcPr>
            <w:tcW w:type="dxa" w:w="18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21.37</w:t>
            </w:r>
          </w:p>
        </w:tc>
        <w:tc>
          <w:tcPr>
            <w:tcW w:type="dxa" w:w="16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$95,963</w:t>
            </w:r>
          </w:p>
        </w:tc>
        <w:tc>
          <w:tcPr>
            <w:tcW w:type="dxa" w:w="15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18.6%</w:t>
            </w:r>
          </w:p>
        </w:tc>
      </w:tr>
      <w:tr>
        <w:tc>
          <w:tcPr>
            <w:tcW w:type="dxa" w:w="14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Basic</w:t>
            </w:r>
          </w:p>
        </w:tc>
        <w:tc>
          <w:tcPr>
            <w:tcW w:type="dxa" w:w="1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$474.68</w:t>
            </w:r>
          </w:p>
        </w:tc>
        <w:tc>
          <w:tcPr>
            <w:tcW w:type="dxa" w:w="16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3.34</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21.60</w:t>
            </w:r>
          </w:p>
        </w:tc>
        <w:tc>
          <w:tcPr>
            <w:tcW w:type="dxa" w:w="16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$34,593</w:t>
            </w:r>
          </w:p>
        </w:tc>
        <w:tc>
          <w:tcPr>
            <w:tcW w:type="dxa" w:w="1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6.7%</w:t>
            </w:r>
          </w:p>
        </w:tc>
      </w:tr>
    </w:tbl>
    <w:p>
      <w:pPr>
        <w:spacing w:after="160"/>
      </w:pPr>
    </w:p>
    <w:p>
      <w:pPr>
        <w:spacing w:after="120"/>
        <w:jc w:val="left"/>
      </w:pPr>
      <w:r>
        <w:rPr>
          <w:rFonts w:ascii="Calibri" w:cs="Calibri" w:eastAsia="Calibri" w:hAnsi="Calibri"/>
          <w:b/>
          <w:bCs/>
          <w:color w:val="1E2761"/>
          <w:sz w:val="22"/>
          <w:szCs w:val="22"/>
        </w:rPr>
        <w:t xml:space="preserve">Key finding: </w:t>
      </w:r>
      <w:r>
        <w:rPr>
          <w:rFonts w:ascii="Calibri" w:cs="Calibri" w:eastAsia="Calibri" w:hAnsi="Calibri"/>
          <w:color w:val="374151"/>
          <w:sz w:val="22"/>
          <w:szCs w:val="22"/>
        </w:rPr>
        <w:t xml:space="preserve">Enterprise customers generate 11x the lifetime value of Basic customers and 4x that of Pro customers. Critically, average lifespan is nearly identical across all three tiers — 21.28, 21.37, and 21.60 months respectively. This means the 11x CLTV gap is driven almost entirely by monthly revenue, not retention. Retention improvements will not close this gap; tier upgrades will.</w:t>
      </w:r>
    </w:p>
    <w:p>
      <w:pPr>
        <w:spacing w:after="120"/>
        <w:jc w:val="left"/>
      </w:pPr>
      <w:r>
        <w:rPr>
          <w:rFonts w:ascii="Calibri" w:cs="Calibri" w:eastAsia="Calibri" w:hAnsi="Calibri"/>
          <w:b/>
          <w:bCs/>
          <w:color w:val="1E2761"/>
          <w:sz w:val="22"/>
          <w:szCs w:val="22"/>
        </w:rPr>
        <w:t xml:space="preserve">Revenue concentration risk: </w:t>
      </w:r>
      <w:r>
        <w:rPr>
          <w:rFonts w:ascii="Calibri" w:cs="Calibri" w:eastAsia="Calibri" w:hAnsi="Calibri"/>
          <w:color w:val="374151"/>
          <w:sz w:val="22"/>
          <w:szCs w:val="22"/>
        </w:rPr>
        <w:t xml:space="preserve">Enterprise accounts generate 74.7% of all Monthly Recurring Revenue ($8.47M of $11.34M total MRR). If Enterprise retention were to slip by even a small percentage, the revenue impact would be disproportionately large compared to equivalent churn in Basic or Pro tiers.</w:t>
      </w:r>
    </w:p>
    <w:p>
      <w:pPr>
        <w:pStyle w:val="Heading2"/>
        <w:spacing w:after="100" w:before="260"/>
      </w:pPr>
      <w:r>
        <w:rPr>
          <w:rFonts w:ascii="Cambria" w:cs="Cambria" w:eastAsia="Cambria" w:hAnsi="Cambria"/>
          <w:b/>
          <w:bCs/>
          <w:color w:val="1E2761"/>
          <w:sz w:val="28"/>
          <w:szCs w:val="28"/>
        </w:rPr>
        <w:t xml:space="preserve">Customer Value Segmentation</w:t>
      </w:r>
    </w:p>
    <w:p>
      <w:pPr>
        <w:spacing w:after="120"/>
        <w:jc w:val="left"/>
      </w:pPr>
      <w:r>
        <w:rPr>
          <w:rFonts w:ascii="Calibri" w:cs="Calibri" w:eastAsia="Calibri" w:hAnsi="Calibri"/>
          <w:color w:val="374151"/>
          <w:sz w:val="22"/>
          <w:szCs w:val="22"/>
        </w:rPr>
        <w:t xml:space="preserve">Individual accounts were classified into High, Medium, and Low CLTV tiers using a tercile split on total historical MRR contribution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Segment</w:t>
            </w:r>
          </w:p>
        </w:tc>
        <w:tc>
          <w:tcPr>
            <w:tcW w:type="dxa" w:w="14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Accounts</w:t>
            </w:r>
          </w:p>
        </w:tc>
        <w:tc>
          <w:tcPr>
            <w:tcW w:type="dxa" w:w="63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Significance</w:t>
            </w:r>
          </w:p>
        </w:tc>
      </w:tr>
      <w:tr>
        <w:tc>
          <w:tcPr>
            <w:tcW w:type="dxa" w:w="16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High Value</w:t>
            </w:r>
          </w:p>
        </w:tc>
        <w:tc>
          <w:tcPr>
            <w:tcW w:type="dxa" w:w="1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167</w:t>
            </w:r>
          </w:p>
        </w:tc>
        <w:tc>
          <w:tcPr>
            <w:tcW w:type="dxa" w:w="6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Top third by total MRR — these 167 accounts carry the majority of revenue. Highest priority for dedicated retention and account management.</w:t>
            </w:r>
          </w:p>
        </w:tc>
      </w:tr>
      <w:tr>
        <w:tc>
          <w:tcPr>
            <w:tcW w:type="dxa" w:w="16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Medium Value</w:t>
            </w:r>
          </w:p>
        </w:tc>
        <w:tc>
          <w:tcPr>
            <w:tcW w:type="dxa" w:w="14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166</w:t>
            </w:r>
          </w:p>
        </w:tc>
        <w:tc>
          <w:tcPr>
            <w:tcW w:type="dxa" w:w="6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Middle third — stable customers but not driving outsized revenue. Upsell candidates.</w:t>
            </w:r>
          </w:p>
        </w:tc>
      </w:tr>
      <w:tr>
        <w:tc>
          <w:tcPr>
            <w:tcW w:type="dxa" w:w="16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Low Value</w:t>
            </w:r>
          </w:p>
        </w:tc>
        <w:tc>
          <w:tcPr>
            <w:tcW w:type="dxa" w:w="1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167</w:t>
            </w:r>
          </w:p>
        </w:tc>
        <w:tc>
          <w:tcPr>
            <w:tcW w:type="dxa" w:w="6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Bottom third — lowest MRR contribution. Review for potential churn risk or reactivation opportunity.</w:t>
            </w:r>
          </w:p>
        </w:tc>
      </w:tr>
    </w:tbl>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5</w:t>
      </w:r>
    </w:p>
    <w:p>
      <w:pPr>
        <w:pStyle w:val="Heading1"/>
        <w:spacing w:after="100" w:before="260"/>
      </w:pPr>
      <w:r>
        <w:rPr>
          <w:rFonts w:ascii="Cambria" w:cs="Cambria" w:eastAsia="Cambria" w:hAnsi="Cambria"/>
          <w:b/>
          <w:bCs/>
          <w:color w:val="1E2761"/>
          <w:sz w:val="36"/>
          <w:szCs w:val="36"/>
        </w:rPr>
        <w:t xml:space="preserve">Support Analytics — Week 4</w:t>
      </w:r>
    </w:p>
    <w:p>
      <w:pPr>
        <w:spacing w:after="120"/>
        <w:jc w:val="left"/>
      </w:pPr>
      <w:r>
        <w:rPr>
          <w:rFonts w:ascii="Calibri" w:cs="Calibri" w:eastAsia="Calibri" w:hAnsi="Calibri"/>
          <w:color w:val="374151"/>
          <w:sz w:val="22"/>
          <w:szCs w:val="22"/>
        </w:rPr>
        <w:t xml:space="preserve">The Support Analytics Dashboard was built in Power BI using 2,000 support ticket records. The dashboard surfaces key operational metrics across ticket volume, resolution speed, customer satisfaction, and priority distribution.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991B1B" w:color="auto" w:val="clear"/>
            <w:tcMar>
              <w:top w:type="dxa" w:w="160"/>
              <w:left w:type="dxa" w:w="180"/>
              <w:bottom w:type="dxa" w:w="160"/>
              <w:right w:type="dxa" w:w="180"/>
            </w:tcMar>
          </w:tcPr>
          <w:p>
            <w:pPr>
              <w:spacing w:after="60"/>
              <w:jc w:val="center"/>
            </w:pPr>
            <w:r>
              <w:rPr>
                <w:rFonts w:ascii="Cambria" w:cs="Cambria" w:eastAsia="Cambria" w:hAnsi="Cambria"/>
                <w:b/>
                <w:bCs/>
                <w:color w:val="FFFFFF"/>
                <w:sz w:val="44"/>
                <w:szCs w:val="44"/>
              </w:rPr>
              <w:t xml:space="preserve">35.86 hrs</w:t>
            </w:r>
          </w:p>
          <w:p>
            <w:pPr>
              <w:spacing w:after="0"/>
              <w:jc w:val="center"/>
            </w:pPr>
            <w:r>
              <w:rPr>
                <w:rFonts w:ascii="Calibri" w:cs="Calibri" w:eastAsia="Calibri" w:hAnsi="Calibri"/>
                <w:color w:val="CADCFC"/>
                <w:sz w:val="17"/>
                <w:szCs w:val="17"/>
              </w:rPr>
              <w:t xml:space="preserve">Avg Resolution Time</w:t>
            </w:r>
          </w:p>
        </w:tc>
        <w:tc>
          <w:tcPr>
            <w:tcW w:type="dxa" w:w="2340"/>
            <w:shd w:fill="1E2761" w:color="auto" w:val="clear"/>
            <w:tcMar>
              <w:top w:type="dxa" w:w="160"/>
              <w:left w:type="dxa" w:w="180"/>
              <w:bottom w:type="dxa" w:w="160"/>
              <w:right w:type="dxa" w:w="180"/>
            </w:tcMar>
          </w:tcPr>
          <w:p>
            <w:pPr>
              <w:spacing w:after="60"/>
              <w:jc w:val="center"/>
            </w:pPr>
            <w:r>
              <w:rPr>
                <w:rFonts w:ascii="Cambria" w:cs="Cambria" w:eastAsia="Cambria" w:hAnsi="Cambria"/>
                <w:b/>
                <w:bCs/>
                <w:color w:val="FFFFFF"/>
                <w:sz w:val="44"/>
                <w:szCs w:val="44"/>
              </w:rPr>
              <w:t xml:space="preserve">88.5 min</w:t>
            </w:r>
          </w:p>
          <w:p>
            <w:pPr>
              <w:spacing w:after="0"/>
              <w:jc w:val="center"/>
            </w:pPr>
            <w:r>
              <w:rPr>
                <w:rFonts w:ascii="Calibri" w:cs="Calibri" w:eastAsia="Calibri" w:hAnsi="Calibri"/>
                <w:color w:val="CADCFC"/>
                <w:sz w:val="17"/>
                <w:szCs w:val="17"/>
              </w:rPr>
              <w:t xml:space="preserve">Avg First Response Time</w:t>
            </w:r>
          </w:p>
        </w:tc>
        <w:tc>
          <w:tcPr>
            <w:tcW w:type="dxa" w:w="2340"/>
            <w:shd w:fill="991B1B" w:color="auto" w:val="clear"/>
            <w:tcMar>
              <w:top w:type="dxa" w:w="160"/>
              <w:left w:type="dxa" w:w="180"/>
              <w:bottom w:type="dxa" w:w="160"/>
              <w:right w:type="dxa" w:w="180"/>
            </w:tcMar>
          </w:tcPr>
          <w:p>
            <w:pPr>
              <w:spacing w:after="60"/>
              <w:jc w:val="center"/>
            </w:pPr>
            <w:r>
              <w:rPr>
                <w:rFonts w:ascii="Cambria" w:cs="Cambria" w:eastAsia="Cambria" w:hAnsi="Cambria"/>
                <w:b/>
                <w:bCs/>
                <w:color w:val="FFFFFF"/>
                <w:sz w:val="44"/>
                <w:szCs w:val="44"/>
              </w:rPr>
              <w:t xml:space="preserve">2.34 / 5</w:t>
            </w:r>
          </w:p>
          <w:p>
            <w:pPr>
              <w:spacing w:after="0"/>
              <w:jc w:val="center"/>
            </w:pPr>
            <w:r>
              <w:rPr>
                <w:rFonts w:ascii="Calibri" w:cs="Calibri" w:eastAsia="Calibri" w:hAnsi="Calibri"/>
                <w:color w:val="CADCFC"/>
                <w:sz w:val="17"/>
                <w:szCs w:val="17"/>
              </w:rPr>
              <w:t xml:space="preserve">Avg Satisfaction Score</w:t>
            </w:r>
          </w:p>
        </w:tc>
        <w:tc>
          <w:tcPr>
            <w:tcW w:type="dxa" w:w="2340"/>
            <w:shd w:fill="3A4F9B" w:color="auto" w:val="clear"/>
            <w:tcMar>
              <w:top w:type="dxa" w:w="160"/>
              <w:left w:type="dxa" w:w="180"/>
              <w:bottom w:type="dxa" w:w="160"/>
              <w:right w:type="dxa" w:w="180"/>
            </w:tcMar>
          </w:tcPr>
          <w:p>
            <w:pPr>
              <w:spacing w:after="60"/>
              <w:jc w:val="center"/>
            </w:pPr>
            <w:r>
              <w:rPr>
                <w:rFonts w:ascii="Cambria" w:cs="Cambria" w:eastAsia="Cambria" w:hAnsi="Cambria"/>
                <w:b/>
                <w:bCs/>
                <w:color w:val="FFFFFF"/>
                <w:sz w:val="44"/>
                <w:szCs w:val="44"/>
              </w:rPr>
              <w:t xml:space="preserve">2,000</w:t>
            </w:r>
          </w:p>
          <w:p>
            <w:pPr>
              <w:spacing w:after="0"/>
              <w:jc w:val="center"/>
            </w:pPr>
            <w:r>
              <w:rPr>
                <w:rFonts w:ascii="Calibri" w:cs="Calibri" w:eastAsia="Calibri" w:hAnsi="Calibri"/>
                <w:color w:val="CADCFC"/>
                <w:sz w:val="17"/>
                <w:szCs w:val="17"/>
              </w:rPr>
              <w:t xml:space="preserve">Tickets Analysed</w:t>
            </w:r>
          </w:p>
        </w:tc>
      </w:tr>
    </w:tbl>
    <w:p>
      <w:pPr>
        <w:spacing w:after="200"/>
      </w:pPr>
    </w:p>
    <w:p>
      <w:pPr>
        <w:pStyle w:val="Heading2"/>
        <w:spacing w:after="100" w:before="260"/>
      </w:pPr>
      <w:r>
        <w:rPr>
          <w:rFonts w:ascii="Cambria" w:cs="Cambria" w:eastAsia="Cambria" w:hAnsi="Cambria"/>
          <w:b/>
          <w:bCs/>
          <w:color w:val="1E2761"/>
          <w:sz w:val="28"/>
          <w:szCs w:val="28"/>
        </w:rPr>
        <w:t xml:space="preserve">Resolution Time by Priority — A Critical Finding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2400"/>
      </w:tblGrid>
      <w:tr>
        <w:tc>
          <w:tcPr>
            <w:tcW w:type="dxa" w:w="20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Priority</w:t>
            </w:r>
          </w:p>
        </w:tc>
        <w:tc>
          <w:tcPr>
            <w:tcW w:type="dxa" w:w="18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Ticket Count</w:t>
            </w:r>
          </w:p>
        </w:tc>
        <w:tc>
          <w:tcPr>
            <w:tcW w:type="dxa" w:w="25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Resolution (hrs)</w:t>
            </w:r>
          </w:p>
        </w:tc>
        <w:tc>
          <w:tcPr>
            <w:tcW w:type="dxa" w:w="24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Avg Satisfaction</w:t>
            </w:r>
          </w:p>
        </w:tc>
      </w:tr>
      <w:tr>
        <w:tc>
          <w:tcPr>
            <w:tcW w:type="dxa" w:w="2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Urgent</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514</w:t>
            </w:r>
          </w:p>
        </w:tc>
        <w:tc>
          <w:tcPr>
            <w:tcW w:type="dxa" w:w="2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34.57</w:t>
            </w:r>
          </w:p>
        </w:tc>
        <w:tc>
          <w:tcPr>
            <w:tcW w:type="dxa" w:w="2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2.33/5</w:t>
            </w:r>
          </w:p>
        </w:tc>
      </w:tr>
      <w:tr>
        <w:tc>
          <w:tcPr>
            <w:tcW w:type="dxa" w:w="2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High</w:t>
            </w:r>
          </w:p>
        </w:tc>
        <w:tc>
          <w:tcPr>
            <w:tcW w:type="dxa" w:w="18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510</w:t>
            </w:r>
          </w:p>
        </w:tc>
        <w:tc>
          <w:tcPr>
            <w:tcW w:type="dxa" w:w="25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36.96</w:t>
            </w:r>
          </w:p>
        </w:tc>
        <w:tc>
          <w:tcPr>
            <w:tcW w:type="dxa" w:w="24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2.31/5</w:t>
            </w:r>
          </w:p>
        </w:tc>
      </w:tr>
      <w:tr>
        <w:tc>
          <w:tcPr>
            <w:tcW w:type="dxa" w:w="2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Medium</w:t>
            </w:r>
          </w:p>
        </w:tc>
        <w:tc>
          <w:tcPr>
            <w:tcW w:type="dxa" w:w="18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491</w:t>
            </w:r>
          </w:p>
        </w:tc>
        <w:tc>
          <w:tcPr>
            <w:tcW w:type="dxa" w:w="25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35.59</w:t>
            </w:r>
          </w:p>
        </w:tc>
        <w:tc>
          <w:tcPr>
            <w:tcW w:type="dxa" w:w="24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2.34/5</w:t>
            </w:r>
          </w:p>
        </w:tc>
      </w:tr>
      <w:tr>
        <w:tc>
          <w:tcPr>
            <w:tcW w:type="dxa" w:w="2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Low</w:t>
            </w:r>
          </w:p>
        </w:tc>
        <w:tc>
          <w:tcPr>
            <w:tcW w:type="dxa" w:w="18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485</w:t>
            </w:r>
          </w:p>
        </w:tc>
        <w:tc>
          <w:tcPr>
            <w:tcW w:type="dxa" w:w="25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36.35</w:t>
            </w:r>
          </w:p>
        </w:tc>
        <w:tc>
          <w:tcPr>
            <w:tcW w:type="dxa" w:w="24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2.38/5</w:t>
            </w:r>
          </w:p>
        </w:tc>
      </w:tr>
    </w:tbl>
    <w:p>
      <w:pPr>
        <w:spacing w:after="160"/>
      </w:pPr>
    </w:p>
    <w:p>
      <w:pPr>
        <w:spacing w:after="120"/>
        <w:jc w:val="left"/>
      </w:pPr>
      <w:r>
        <w:rPr>
          <w:rFonts w:ascii="Calibri" w:cs="Calibri" w:eastAsia="Calibri" w:hAnsi="Calibri"/>
          <w:b/>
          <w:bCs/>
          <w:color w:val="991B1B"/>
          <w:sz w:val="22"/>
          <w:szCs w:val="22"/>
        </w:rPr>
        <w:t xml:space="preserve">Critical finding: </w:t>
      </w:r>
      <w:r>
        <w:rPr>
          <w:rFonts w:ascii="Calibri" w:cs="Calibri" w:eastAsia="Calibri" w:hAnsi="Calibri"/>
          <w:color w:val="374151"/>
          <w:sz w:val="22"/>
          <w:szCs w:val="22"/>
        </w:rPr>
        <w:t xml:space="preserve">Urgent tickets are resolved in 34.57 hours on average — only 1.8 hours faster than low-priority tickets at 36.35 hours. There is effectively no priority-based SLA differentiation in place. High-priority tickets (high: 36.96 hours) actually take longer to resolve than urgent ones. Every priority level also returns nearly the same satisfaction score, clustered tightly between 2.31 and 2.38 out of 5 — uniformly below half the maximum possible score. These two facts together indicate that customers are receiving the same quality and speed of support regardless of how urgently they flag their issue.</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6</w:t>
      </w:r>
    </w:p>
    <w:p>
      <w:pPr>
        <w:pStyle w:val="Heading1"/>
        <w:spacing w:after="100" w:before="260"/>
      </w:pPr>
      <w:r>
        <w:rPr>
          <w:rFonts w:ascii="Cambria" w:cs="Cambria" w:eastAsia="Cambria" w:hAnsi="Cambria"/>
          <w:b/>
          <w:bCs/>
          <w:color w:val="1E2761"/>
          <w:sz w:val="36"/>
          <w:szCs w:val="36"/>
        </w:rPr>
        <w:t xml:space="preserve">Churn Analysis</w:t>
      </w:r>
    </w:p>
    <w:p>
      <w:pPr>
        <w:spacing w:after="120"/>
        <w:jc w:val="left"/>
      </w:pPr>
      <w:r>
        <w:rPr>
          <w:rFonts w:ascii="Calibri" w:cs="Calibri" w:eastAsia="Calibri" w:hAnsi="Calibri"/>
          <w:color w:val="374151"/>
          <w:sz w:val="22"/>
          <w:szCs w:val="22"/>
        </w:rPr>
        <w:t xml:space="preserve">600 churn events were recorded across the dataset. The overall account-level churn rate was 22.0% — consistent across all three plan tiers (Basic: 22.0%, Enterprise: 22.1%, Pro: 21.9%), indicating that no single tier is more at risk of churning than another.</w:t>
      </w:r>
    </w:p>
    <w:p>
      <w:pPr>
        <w:pStyle w:val="Heading2"/>
        <w:spacing w:after="100" w:before="260"/>
      </w:pPr>
      <w:r>
        <w:rPr>
          <w:rFonts w:ascii="Cambria" w:cs="Cambria" w:eastAsia="Cambria" w:hAnsi="Cambria"/>
          <w:b/>
          <w:bCs/>
          <w:color w:val="1E2761"/>
          <w:sz w:val="28"/>
          <w:szCs w:val="28"/>
        </w:rPr>
        <w:t xml:space="preserve">Churn by Reason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4960"/>
      </w:tblGrid>
      <w:tr>
        <w:tc>
          <w:tcPr>
            <w:tcW w:type="dxa" w:w="15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Reason</w:t>
            </w:r>
          </w:p>
        </w:tc>
        <w:tc>
          <w:tcPr>
            <w:tcW w:type="dxa" w:w="12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Events</w:t>
            </w:r>
          </w:p>
        </w:tc>
        <w:tc>
          <w:tcPr>
            <w:tcW w:type="dxa" w:w="17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 of Total Churn</w:t>
            </w:r>
          </w:p>
        </w:tc>
        <w:tc>
          <w:tcPr>
            <w:tcW w:type="dxa" w:w="49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Implication</w:t>
            </w:r>
          </w:p>
        </w:tc>
      </w:tr>
      <w:tr>
        <w:tc>
          <w:tcPr>
            <w:tcW w:type="dxa" w:w="15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Features</w:t>
            </w:r>
          </w:p>
        </w:tc>
        <w:tc>
          <w:tcPr>
            <w:tcW w:type="dxa" w:w="12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114</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19.0%</w:t>
            </w:r>
          </w:p>
        </w:tc>
        <w:tc>
          <w:tcPr>
            <w:tcW w:type="dxa" w:w="49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Product gap — customers leaving for capability reasons</w:t>
            </w:r>
          </w:p>
        </w:tc>
      </w:tr>
      <w:tr>
        <w:tc>
          <w:tcPr>
            <w:tcW w:type="dxa" w:w="15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Support</w:t>
            </w:r>
          </w:p>
        </w:tc>
        <w:tc>
          <w:tcPr>
            <w:tcW w:type="dxa" w:w="12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104</w:t>
            </w:r>
          </w:p>
        </w:tc>
        <w:tc>
          <w:tcPr>
            <w:tcW w:type="dxa" w:w="17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17.3%</w:t>
            </w:r>
          </w:p>
        </w:tc>
        <w:tc>
          <w:tcPr>
            <w:tcW w:type="dxa" w:w="49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Directly linked to 2.34/5 satisfaction score above</w:t>
            </w:r>
          </w:p>
        </w:tc>
      </w:tr>
      <w:tr>
        <w:tc>
          <w:tcPr>
            <w:tcW w:type="dxa" w:w="15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Budget</w:t>
            </w:r>
          </w:p>
        </w:tc>
        <w:tc>
          <w:tcPr>
            <w:tcW w:type="dxa" w:w="12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104</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17.3%</w:t>
            </w:r>
          </w:p>
        </w:tc>
        <w:tc>
          <w:tcPr>
            <w:tcW w:type="dxa" w:w="49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Pricing sensitivity — may overlap with downgrade candidates</w:t>
            </w:r>
          </w:p>
        </w:tc>
      </w:tr>
      <w:tr>
        <w:tc>
          <w:tcPr>
            <w:tcW w:type="dxa" w:w="15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Unknown</w:t>
            </w:r>
          </w:p>
        </w:tc>
        <w:tc>
          <w:tcPr>
            <w:tcW w:type="dxa" w:w="12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95</w:t>
            </w:r>
          </w:p>
        </w:tc>
        <w:tc>
          <w:tcPr>
            <w:tcW w:type="dxa" w:w="17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15.8%</w:t>
            </w:r>
          </w:p>
        </w:tc>
        <w:tc>
          <w:tcPr>
            <w:tcW w:type="dxa" w:w="49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Exit survey gap — these churns cannot be actioned without more data</w:t>
            </w:r>
          </w:p>
        </w:tc>
      </w:tr>
      <w:tr>
        <w:tc>
          <w:tcPr>
            <w:tcW w:type="dxa" w:w="15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Competitor</w:t>
            </w:r>
          </w:p>
        </w:tc>
        <w:tc>
          <w:tcPr>
            <w:tcW w:type="dxa" w:w="12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92</w:t>
            </w:r>
          </w:p>
        </w:tc>
        <w:tc>
          <w:tcPr>
            <w:tcW w:type="dxa" w:w="170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15.3%</w:t>
            </w:r>
          </w:p>
        </w:tc>
        <w:tc>
          <w:tcPr>
            <w:tcW w:type="dxa" w:w="49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Market pressure — competitive positioning needed</w:t>
            </w:r>
          </w:p>
        </w:tc>
      </w:tr>
      <w:tr>
        <w:tc>
          <w:tcPr>
            <w:tcW w:type="dxa" w:w="15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Pricing</w:t>
            </w:r>
          </w:p>
        </w:tc>
        <w:tc>
          <w:tcPr>
            <w:tcW w:type="dxa" w:w="12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91</w:t>
            </w:r>
          </w:p>
        </w:tc>
        <w:tc>
          <w:tcPr>
            <w:tcW w:type="dxa" w:w="170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15.2%</w:t>
            </w:r>
          </w:p>
        </w:tc>
        <w:tc>
          <w:tcPr>
            <w:tcW w:type="dxa" w:w="49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Distinct from budget; pricing structure itself is a driver</w:t>
            </w:r>
          </w:p>
        </w:tc>
      </w:tr>
    </w:tbl>
    <w:p>
      <w:pPr>
        <w:spacing w:after="160"/>
      </w:pPr>
    </w:p>
    <w:p>
      <w:pPr>
        <w:spacing w:after="120"/>
        <w:jc w:val="left"/>
      </w:pPr>
      <w:r>
        <w:rPr>
          <w:rFonts w:ascii="Calibri" w:cs="Calibri" w:eastAsia="Calibri" w:hAnsi="Calibri"/>
          <w:b/>
          <w:bCs/>
          <w:color w:val="1E2761"/>
          <w:sz w:val="22"/>
          <w:szCs w:val="22"/>
        </w:rPr>
        <w:t xml:space="preserve">The support connection: </w:t>
      </w:r>
      <w:r>
        <w:rPr>
          <w:rFonts w:ascii="Calibri" w:cs="Calibri" w:eastAsia="Calibri" w:hAnsi="Calibri"/>
          <w:color w:val="374151"/>
          <w:sz w:val="22"/>
          <w:szCs w:val="22"/>
        </w:rPr>
        <w:t xml:space="preserve">104 customers cited support as their reason for leaving. Combined with the 2.34/5 average satisfaction score from the ticket analysis, the same problem appears independently in two separate datasets. This is not a coincidence — it is corroboration. Poor support quality is simultaneously measurable in the ticket data and confirmed as a churn driver by customers after they leave.</w:t>
      </w:r>
    </w:p>
    <w:p>
      <w:pPr>
        <w:spacing w:after="120"/>
        <w:jc w:val="left"/>
      </w:pPr>
      <w:r>
        <w:rPr>
          <w:rFonts w:ascii="Calibri" w:cs="Calibri" w:eastAsia="Calibri" w:hAnsi="Calibri"/>
          <w:color w:val="374151"/>
          <w:sz w:val="22"/>
          <w:szCs w:val="22"/>
        </w:rPr>
        <w:t xml:space="preserve">Total refunds issued across all 600 churn events: $8,652.25 (average of $14.42 per churned account). No reactivations were recorded in the dataset.</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7</w:t>
      </w:r>
    </w:p>
    <w:p>
      <w:pPr>
        <w:pStyle w:val="Heading1"/>
        <w:spacing w:after="100" w:before="260"/>
      </w:pPr>
      <w:r>
        <w:rPr>
          <w:rFonts w:ascii="Cambria" w:cs="Cambria" w:eastAsia="Cambria" w:hAnsi="Cambria"/>
          <w:b/>
          <w:bCs/>
          <w:color w:val="1E2761"/>
          <w:sz w:val="36"/>
          <w:szCs w:val="36"/>
        </w:rPr>
        <w:t xml:space="preserve">Feature Usage Overview</w:t>
      </w:r>
    </w:p>
    <w:p>
      <w:pPr>
        <w:spacing w:after="120"/>
        <w:jc w:val="left"/>
      </w:pPr>
      <w:r>
        <w:rPr>
          <w:rFonts w:ascii="Calibri" w:cs="Calibri" w:eastAsia="Calibri" w:hAnsi="Calibri"/>
          <w:color w:val="374151"/>
          <w:sz w:val="22"/>
          <w:szCs w:val="22"/>
        </w:rPr>
        <w:t xml:space="preserve">25,000 feature usage events were recorded across 40 unique product features. Usage is broadly distributed across the feature pool — the top 5 features by total usage count (feature_32, feature_15, feature_6, feature_20, feature_34) each recorded between 6,536 and 6,686 total uses, suggesting no single feature dominates product engagement in a way that would create a critical dependency.</w:t>
      </w:r>
    </w:p>
    <w:p>
      <w:pPr>
        <w:spacing w:after="120"/>
        <w:jc w:val="left"/>
      </w:pPr>
      <w:r>
        <w:rPr>
          <w:rFonts w:ascii="Calibri" w:cs="Calibri" w:eastAsia="Calibri" w:hAnsi="Calibri"/>
          <w:b/>
          <w:bCs/>
          <w:color w:val="1E2761"/>
          <w:sz w:val="22"/>
          <w:szCs w:val="22"/>
        </w:rPr>
        <w:t xml:space="preserve">Error rate: </w:t>
      </w:r>
      <w:r>
        <w:rPr>
          <w:rFonts w:ascii="Calibri" w:cs="Calibri" w:eastAsia="Calibri" w:hAnsi="Calibri"/>
          <w:color w:val="374151"/>
          <w:sz w:val="22"/>
          <w:szCs w:val="22"/>
        </w:rPr>
        <w:t xml:space="preserve">14,082 errors were logged across 25,000 usage events — an average error rate of 0.563 errors per usage event. This is a notable rate that warrants further investigation, particularly to determine whether error-heavy features correlate with accounts that subsequently churned under the 'features' reason code.</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8</w:t>
      </w:r>
    </w:p>
    <w:p>
      <w:pPr>
        <w:pStyle w:val="Heading1"/>
        <w:spacing w:after="100" w:before="260"/>
      </w:pPr>
      <w:r>
        <w:rPr>
          <w:rFonts w:ascii="Cambria" w:cs="Cambria" w:eastAsia="Cambria" w:hAnsi="Cambria"/>
          <w:b/>
          <w:bCs/>
          <w:color w:val="1E2761"/>
          <w:sz w:val="36"/>
          <w:szCs w:val="36"/>
        </w:rPr>
        <w:t xml:space="preserve">Business Recommendations</w:t>
      </w:r>
    </w:p>
    <w:p>
      <w:pPr>
        <w:pStyle w:val="Heading2"/>
        <w:spacing w:after="100" w:before="260"/>
      </w:pPr>
      <w:r>
        <w:rPr>
          <w:rFonts w:ascii="Cambria" w:cs="Cambria" w:eastAsia="Cambria" w:hAnsi="Cambria"/>
          <w:b/>
          <w:bCs/>
          <w:color w:val="1E2761"/>
          <w:sz w:val="28"/>
          <w:szCs w:val="28"/>
        </w:rPr>
        <w:t xml:space="preserve">Recommendation 01 — Shift Acquisition Budget Toward the Partner Channel</w:t>
      </w:r>
    </w:p>
    <w:p>
      <w:pPr>
        <w:spacing w:after="120"/>
        <w:jc w:val="left"/>
      </w:pPr>
      <w:r>
        <w:rPr>
          <w:rFonts w:ascii="Calibri" w:cs="Calibri" w:eastAsia="Calibri" w:hAnsi="Calibri"/>
          <w:b/>
          <w:bCs/>
          <w:color w:val="1E2761"/>
          <w:sz w:val="22"/>
          <w:szCs w:val="22"/>
        </w:rPr>
        <w:t xml:space="preserve">Evidence: </w:t>
      </w:r>
      <w:r>
        <w:rPr>
          <w:rFonts w:ascii="Calibri" w:cs="Calibri" w:eastAsia="Calibri" w:hAnsi="Calibri"/>
          <w:color w:val="374151"/>
          <w:sz w:val="22"/>
          <w:szCs w:val="22"/>
        </w:rPr>
        <w:t xml:space="preserve">Partner CLTV ($522,502) exceeds event channel CLTV ($430,438) by $92,064 per customer — a 21.4% premium — driven entirely by retention length, not higher spend.</w:t>
      </w:r>
    </w:p>
    <w:p>
      <w:pPr>
        <w:spacing w:after="120"/>
        <w:jc w:val="left"/>
      </w:pPr>
      <w:r>
        <w:rPr>
          <w:rFonts w:ascii="Calibri" w:cs="Calibri" w:eastAsia="Calibri" w:hAnsi="Calibri"/>
          <w:b/>
          <w:bCs/>
          <w:color w:val="1E2761"/>
          <w:sz w:val="22"/>
          <w:szCs w:val="22"/>
        </w:rPr>
        <w:t xml:space="preserve">Action: </w:t>
      </w:r>
      <w:r>
        <w:rPr>
          <w:rFonts w:ascii="Calibri" w:cs="Calibri" w:eastAsia="Calibri" w:hAnsi="Calibri"/>
          <w:color w:val="374151"/>
          <w:sz w:val="22"/>
          <w:szCs w:val="22"/>
        </w:rPr>
        <w:t xml:space="preserve">Review current acquisition budget allocation across channels. If event or ads channels are consuming budget disproportionate to their CLTV, reallocate toward partner referral development — co-marketing agreements, affiliate programmes, or structured partnership incentive schemes.</w:t>
      </w:r>
    </w:p>
    <w:p>
      <w:pPr>
        <w:spacing w:after="160"/>
      </w:pPr>
    </w:p>
    <w:p>
      <w:pPr>
        <w:pStyle w:val="Heading2"/>
        <w:spacing w:after="100" w:before="260"/>
      </w:pPr>
      <w:r>
        <w:rPr>
          <w:rFonts w:ascii="Cambria" w:cs="Cambria" w:eastAsia="Cambria" w:hAnsi="Cambria"/>
          <w:b/>
          <w:bCs/>
          <w:color w:val="1E2761"/>
          <w:sz w:val="28"/>
          <w:szCs w:val="28"/>
        </w:rPr>
        <w:t xml:space="preserve">Recommendation 02 — Build an Aggressive Pro-to-Enterprise Upsell Programme</w:t>
      </w:r>
    </w:p>
    <w:p>
      <w:pPr>
        <w:spacing w:after="120"/>
        <w:jc w:val="left"/>
      </w:pPr>
      <w:r>
        <w:rPr>
          <w:rFonts w:ascii="Calibri" w:cs="Calibri" w:eastAsia="Calibri" w:hAnsi="Calibri"/>
          <w:b/>
          <w:bCs/>
          <w:color w:val="1E2761"/>
          <w:sz w:val="22"/>
          <w:szCs w:val="22"/>
        </w:rPr>
        <w:t xml:space="preserve">Evidence: </w:t>
      </w:r>
      <w:r>
        <w:rPr>
          <w:rFonts w:ascii="Calibri" w:cs="Calibri" w:eastAsia="Calibri" w:hAnsi="Calibri"/>
          <w:color w:val="374151"/>
          <w:sz w:val="22"/>
          <w:szCs w:val="22"/>
        </w:rPr>
        <w:t xml:space="preserve">Moving one Pro customer to Enterprise adds $283,570 in projected CLTV ($379,533 vs $95,963). Average lifespan is identical (~21 months) — the gap is pure MRR. A 5% conversion rate of existing Pro accounts would have material revenue impact.</w:t>
      </w:r>
    </w:p>
    <w:p>
      <w:pPr>
        <w:spacing w:after="120"/>
        <w:jc w:val="left"/>
      </w:pPr>
      <w:r>
        <w:rPr>
          <w:rFonts w:ascii="Calibri" w:cs="Calibri" w:eastAsia="Calibri" w:hAnsi="Calibri"/>
          <w:b/>
          <w:bCs/>
          <w:color w:val="1E2761"/>
          <w:sz w:val="22"/>
          <w:szCs w:val="22"/>
        </w:rPr>
        <w:t xml:space="preserve">Action: </w:t>
      </w:r>
      <w:r>
        <w:rPr>
          <w:rFonts w:ascii="Calibri" w:cs="Calibri" w:eastAsia="Calibri" w:hAnsi="Calibri"/>
          <w:color w:val="374151"/>
          <w:sz w:val="22"/>
          <w:szCs w:val="22"/>
        </w:rPr>
        <w:t xml:space="preserve">Identify Pro accounts with the highest seat counts and feature usage frequency. Offer a time-limited guided trial of Enterprise features. Target accounts already operating near their Pro-tier capacity, as these are most likely to experience genuine value from upgrading.</w:t>
      </w:r>
    </w:p>
    <w:p>
      <w:pPr>
        <w:spacing w:after="160"/>
      </w:pPr>
    </w:p>
    <w:p>
      <w:pPr>
        <w:pStyle w:val="Heading2"/>
        <w:spacing w:after="100" w:before="260"/>
      </w:pPr>
      <w:r>
        <w:rPr>
          <w:rFonts w:ascii="Cambria" w:cs="Cambria" w:eastAsia="Cambria" w:hAnsi="Cambria"/>
          <w:b/>
          <w:bCs/>
          <w:color w:val="1E2761"/>
          <w:sz w:val="28"/>
          <w:szCs w:val="28"/>
        </w:rPr>
        <w:t xml:space="preserve">Recommendation 03 — Implement Priority-Based SLAs in Support</w:t>
      </w:r>
    </w:p>
    <w:p>
      <w:pPr>
        <w:spacing w:after="120"/>
        <w:jc w:val="left"/>
      </w:pPr>
      <w:r>
        <w:rPr>
          <w:rFonts w:ascii="Calibri" w:cs="Calibri" w:eastAsia="Calibri" w:hAnsi="Calibri"/>
          <w:b/>
          <w:bCs/>
          <w:color w:val="1E2761"/>
          <w:sz w:val="22"/>
          <w:szCs w:val="22"/>
        </w:rPr>
        <w:t xml:space="preserve">Evidence: </w:t>
      </w:r>
      <w:r>
        <w:rPr>
          <w:rFonts w:ascii="Calibri" w:cs="Calibri" w:eastAsia="Calibri" w:hAnsi="Calibri"/>
          <w:color w:val="374151"/>
          <w:sz w:val="22"/>
          <w:szCs w:val="22"/>
        </w:rPr>
        <w:t xml:space="preserve">Urgent tickets resolve in 34.57 hours vs 36.35 hours for low-priority — a 1.8-hour difference that is operationally negligible. Average satisfaction is 2.34/5 across all priorities. 104 customers have already churned citing support quality. Total refunds of $8,652 are a secondary cost; lost revenue from support-driven churn is the primary concern.</w:t>
      </w:r>
    </w:p>
    <w:p>
      <w:pPr>
        <w:spacing w:after="120"/>
        <w:jc w:val="left"/>
      </w:pPr>
      <w:r>
        <w:rPr>
          <w:rFonts w:ascii="Calibri" w:cs="Calibri" w:eastAsia="Calibri" w:hAnsi="Calibri"/>
          <w:b/>
          <w:bCs/>
          <w:color w:val="1E2761"/>
          <w:sz w:val="22"/>
          <w:szCs w:val="22"/>
        </w:rPr>
        <w:t xml:space="preserve">Proposed SLA targets: </w:t>
      </w:r>
      <w:r>
        <w:rPr>
          <w:rFonts w:ascii="Calibri" w:cs="Calibri" w:eastAsia="Calibri" w:hAnsi="Calibri"/>
          <w:color w:val="374151"/>
          <w:sz w:val="22"/>
          <w:szCs w:val="22"/>
        </w:rPr>
        <w:t xml:space="preserve">Urgent: &lt;2 hrs first response, &lt;8 hrs resolution  •  High: &lt;4 hrs first response, &lt;16 hrs resolution  •  Medium: &lt;8 hrs first response, &lt;36 hrs resolution  •  Low: &lt;24 hrs first response, &lt;72 hrs resolution</w:t>
      </w:r>
    </w:p>
    <w:p>
      <w:pPr>
        <w:spacing w:after="120"/>
        <w:jc w:val="left"/>
      </w:pPr>
      <w:r>
        <w:rPr>
          <w:rFonts w:ascii="Calibri" w:cs="Calibri" w:eastAsia="Calibri" w:hAnsi="Calibri"/>
          <w:b/>
          <w:bCs/>
          <w:color w:val="1E2761"/>
          <w:sz w:val="22"/>
          <w:szCs w:val="22"/>
        </w:rPr>
        <w:t xml:space="preserve">Action: </w:t>
      </w:r>
      <w:r>
        <w:rPr>
          <w:rFonts w:ascii="Calibri" w:cs="Calibri" w:eastAsia="Calibri" w:hAnsi="Calibri"/>
          <w:color w:val="374151"/>
          <w:sz w:val="22"/>
          <w:szCs w:val="22"/>
        </w:rPr>
        <w:t xml:space="preserve">Implement formal SLA policies with monitoring dashboards. Train support agents on priority escalation. Consider dedicated queues for high and urgent tickets. Track satisfaction score weekly as the primary support health metric.</w:t>
      </w:r>
    </w:p>
    <w:p>
      <w:pPr>
        <w:spacing w:after="160"/>
      </w:pPr>
    </w:p>
    <w:p>
      <w:pPr>
        <w:pStyle w:val="Heading2"/>
        <w:spacing w:after="100" w:before="260"/>
      </w:pPr>
      <w:r>
        <w:rPr>
          <w:rFonts w:ascii="Cambria" w:cs="Cambria" w:eastAsia="Cambria" w:hAnsi="Cambria"/>
          <w:b/>
          <w:bCs/>
          <w:color w:val="1E2761"/>
          <w:sz w:val="28"/>
          <w:szCs w:val="28"/>
        </w:rPr>
        <w:t xml:space="preserve">Recommendation 04 — Intercept Churn in the Month 1–2 Window</w:t>
      </w:r>
    </w:p>
    <w:p>
      <w:pPr>
        <w:spacing w:after="120"/>
        <w:jc w:val="left"/>
      </w:pPr>
      <w:r>
        <w:rPr>
          <w:rFonts w:ascii="Calibri" w:cs="Calibri" w:eastAsia="Calibri" w:hAnsi="Calibri"/>
          <w:b/>
          <w:bCs/>
          <w:color w:val="1E2761"/>
          <w:sz w:val="22"/>
          <w:szCs w:val="22"/>
        </w:rPr>
        <w:t xml:space="preserve">Evidence: </w:t>
      </w:r>
      <w:r>
        <w:rPr>
          <w:rFonts w:ascii="Calibri" w:cs="Calibri" w:eastAsia="Calibri" w:hAnsi="Calibri"/>
          <w:color w:val="374151"/>
          <w:sz w:val="22"/>
          <w:szCs w:val="22"/>
        </w:rPr>
        <w:t xml:space="preserve">Cohort retention data shows approximately 40% of customers disengage between Month 0 and Month 1, consistently across all 24 acquisition cohorts. Customers who survive Month 3 show significantly higher long-term retention and therefore higher CLTV.</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Launch an automated onboarding email sequence timed to reach customers before the end of Week 2 of their subscription — feature walkthroughs, use-case examples, and a direct check-in from a Customer Success representative.</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Fix product features before adjusting pricing. Features is the single largest churn reason (114 events, 19%). Addressing product gaps will stop churn at the source rather than masking it with discounts.</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Use support tickets as an early-warning system. Accounts with repeated escalations or low satisfaction scores within the first three months should trigger proactive outreach, not wait for a cancellation request.</w:t>
      </w:r>
    </w:p>
    <w:p>
      <w:pPr>
        <w:spacing w:after="80"/>
        <w:ind w:left="360"/>
      </w:pPr>
      <w:r>
        <w:rPr>
          <w:rFonts w:ascii="Calibri" w:cs="Calibri" w:eastAsia="Calibri" w:hAnsi="Calibri"/>
          <w:b/>
          <w:bCs/>
          <w:color w:val="3A4F9B"/>
          <w:sz w:val="22"/>
          <w:szCs w:val="22"/>
        </w:rPr>
        <w:t xml:space="preserve">• </w:t>
      </w:r>
      <w:r>
        <w:rPr>
          <w:rFonts w:ascii="Calibri" w:cs="Calibri" w:eastAsia="Calibri" w:hAnsi="Calibri"/>
          <w:color w:val="374151"/>
          <w:sz w:val="22"/>
          <w:szCs w:val="22"/>
        </w:rPr>
        <w:t xml:space="preserve">Protect the High-Value 167 accounts. These customers carry a disproportionate share of MRR. Assign each a dedicated account manager, schedule quarterly business reviews, and route their support tickets to the senior queue automatically.</w:t>
      </w:r>
    </w:p>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SECTION 9</w:t>
      </w:r>
    </w:p>
    <w:p>
      <w:pPr>
        <w:pStyle w:val="Heading1"/>
        <w:spacing w:after="100" w:before="260"/>
      </w:pPr>
      <w:r>
        <w:rPr>
          <w:rFonts w:ascii="Cambria" w:cs="Cambria" w:eastAsia="Cambria" w:hAnsi="Cambria"/>
          <w:b/>
          <w:bCs/>
          <w:color w:val="1E2761"/>
          <w:sz w:val="36"/>
          <w:szCs w:val="36"/>
        </w:rPr>
        <w:t xml:space="preserve">Summary of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Metric</w:t>
            </w:r>
          </w:p>
        </w:tc>
        <w:tc>
          <w:tcPr>
            <w:tcW w:type="dxa" w:w="5360"/>
            <w:shd w:fill="1E2761" w:color="auto" w:val="clear"/>
            <w:tcMar>
              <w:top w:type="dxa" w:w="100"/>
              <w:left w:type="dxa" w:w="140"/>
              <w:bottom w:type="dxa" w:w="100"/>
              <w:right w:type="dxa" w:w="140"/>
            </w:tcMar>
          </w:tcPr>
          <w:p>
            <w:pPr>
              <w:spacing w:after="0"/>
              <w:jc w:val="LEFT"/>
            </w:pPr>
            <w:r>
              <w:rPr>
                <w:rFonts w:ascii="Calibri" w:cs="Calibri" w:eastAsia="Calibri" w:hAnsi="Calibri"/>
                <w:b/>
                <w:bCs/>
                <w:color w:val="FFFFFF"/>
                <w:sz w:val="19"/>
                <w:szCs w:val="19"/>
              </w:rPr>
              <w:t xml:space="preserve">Value</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Total accounts</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500 (across 5 industries, 7 countries)</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Total subscriptions</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5,000</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Total MRR</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$11,338,747</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Total ARR</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$136,064,964</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Enterprise share of MRR</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74.7% ($8,473,221)</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Avg MRR per subscription</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$2,267.75</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Highest CLTV (channel)</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Partner — $522,502</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Lowest CLTV (channel)</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Event — $430,438</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Highest CLTV (tier)</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Enterprise — $379,533</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Lowest CLTV (tier)</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Basic — $34,593</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Enterprise vs Basic CLTV</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11x difference</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Overall churn rate</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22.0% of accounts</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Top churn reason</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Features — 114 events (19.0%)</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Total churn refunds</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$8,652.25</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Avg ticket resolution time</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35.86 hours</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Avg first response time</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88.48 minutes</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Avg satisfaction score</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2.34 / 5</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Month 0→1 retention drop</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~40% (consistent across all cohorts)</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Feature usage events</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25,000 across 40 features</w:t>
            </w:r>
          </w:p>
        </w:tc>
      </w:tr>
      <w:tr>
        <w:tc>
          <w:tcPr>
            <w:tcW w:type="dxa" w:w="4000"/>
            <w:shd w:fill="FFFFFF"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Feature error rate</w:t>
            </w:r>
          </w:p>
        </w:tc>
        <w:tc>
          <w:tcPr>
            <w:tcW w:type="dxa" w:w="5360"/>
            <w:shd w:fill="FFFFFF"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0.563 errors per usage event</w:t>
            </w:r>
          </w:p>
        </w:tc>
      </w:tr>
      <w:tr>
        <w:tc>
          <w:tcPr>
            <w:tcW w:type="dxa" w:w="4000"/>
            <w:shd w:fill="F8FAFC" w:color="auto" w:val="clear"/>
            <w:tcMar>
              <w:top w:type="dxa" w:w="80"/>
              <w:left w:type="dxa" w:w="140"/>
              <w:bottom w:type="dxa" w:w="80"/>
              <w:right w:type="dxa" w:w="140"/>
            </w:tcMar>
          </w:tcPr>
          <w:p>
            <w:pPr>
              <w:spacing w:after="0"/>
              <w:jc w:val="left"/>
            </w:pPr>
            <w:r>
              <w:rPr>
                <w:rFonts w:ascii="Calibri" w:cs="Calibri" w:eastAsia="Calibri" w:hAnsi="Calibri"/>
                <w:color w:val="1F2937"/>
                <w:sz w:val="19"/>
                <w:szCs w:val="19"/>
              </w:rPr>
              <w:t xml:space="preserve">High-value customer segment</w:t>
            </w:r>
          </w:p>
        </w:tc>
        <w:tc>
          <w:tcPr>
            <w:tcW w:type="dxa" w:w="5360"/>
            <w:shd w:fill="F8FAFC" w:color="auto" w:val="clear"/>
            <w:tcMar>
              <w:top w:type="dxa" w:w="80"/>
              <w:left w:type="dxa" w:w="140"/>
              <w:bottom w:type="dxa" w:w="80"/>
              <w:right w:type="dxa" w:w="140"/>
            </w:tcMar>
          </w:tcPr>
          <w:p>
            <w:pPr>
              <w:spacing w:after="0"/>
              <w:jc w:val="center"/>
            </w:pPr>
            <w:r>
              <w:rPr>
                <w:rFonts w:ascii="Calibri" w:cs="Calibri" w:eastAsia="Calibri" w:hAnsi="Calibri"/>
                <w:color w:val="1F2937"/>
                <w:sz w:val="19"/>
                <w:szCs w:val="19"/>
              </w:rPr>
              <w:t xml:space="preserve">167 accounts (top-third by MRR)</w:t>
            </w:r>
          </w:p>
        </w:tc>
      </w:tr>
    </w:tbl>
    <w:p>
      <w:pPr>
        <w:pBdr>
          <w:bottom w:val="single" w:color="E5E7EB" w:sz="4"/>
        </w:pBdr>
        <w:spacing w:after="160" w:before="160"/>
      </w:pPr>
    </w:p>
    <w:p>
      <w:pPr>
        <w:spacing w:after="60" w:before="320"/>
      </w:pPr>
      <w:r>
        <w:rPr>
          <w:rFonts w:ascii="Calibri" w:cs="Calibri" w:eastAsia="Calibri" w:hAnsi="Calibri"/>
          <w:b/>
          <w:bCs/>
          <w:color w:val="3A4F9B"/>
          <w:spacing w:val="40"/>
          <w:sz w:val="17"/>
          <w:szCs w:val="17"/>
        </w:rPr>
        <w:t xml:space="preserve">CLOSING NOTE</w:t>
      </w:r>
    </w:p>
    <w:p>
      <w:pPr>
        <w:pStyle w:val="Heading1"/>
        <w:spacing w:after="100" w:before="260"/>
      </w:pPr>
      <w:r>
        <w:rPr>
          <w:rFonts w:ascii="Cambria" w:cs="Cambria" w:eastAsia="Cambria" w:hAnsi="Cambria"/>
          <w:b/>
          <w:bCs/>
          <w:color w:val="1E2761"/>
          <w:sz w:val="36"/>
          <w:szCs w:val="36"/>
        </w:rPr>
        <w:t xml:space="preserve">About This Report</w:t>
      </w:r>
    </w:p>
    <w:p>
      <w:pPr>
        <w:spacing w:after="120"/>
        <w:jc w:val="left"/>
      </w:pPr>
      <w:r>
        <w:rPr>
          <w:rFonts w:ascii="Calibri" w:cs="Calibri" w:eastAsia="Calibri" w:hAnsi="Calibri"/>
          <w:color w:val="374151"/>
          <w:sz w:val="22"/>
          <w:szCs w:val="22"/>
        </w:rPr>
        <w:t xml:space="preserve">Every figure cited in this document was calculated directly from the uploaded project data files — no estimated or placeholder values have been used. The analysis was conducted in Python using pandas, matplotlib, and seaborn across a four-week internship project. Supporting notebooks, the Power BI Support Analytics Dashboard, and all intermediate CSV outputs are available in the project repository.</w:t>
      </w:r>
    </w:p>
    <w:p>
      <w:pPr>
        <w:spacing w:after="120"/>
        <w:jc w:val="left"/>
      </w:pPr>
      <w:r>
        <w:rPr>
          <w:rFonts w:ascii="Calibri" w:cs="Calibri" w:eastAsia="Calibri" w:hAnsi="Calibri"/>
          <w:i/>
          <w:iCs/>
          <w:color w:val="6B7280"/>
          <w:sz w:val="20"/>
          <w:szCs w:val="20"/>
        </w:rPr>
        <w:t xml:space="preserve">Dataset credit: RavenStack synthetic SaaS dataset by River @ Rivalytics. Used for educational and portfolio purposes under MIT-like license.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2026-07-05T11:23:04.273Z</dcterms:created>
  <dcterms:modified xsi:type="dcterms:W3CDTF">2026-07-05T11:23:04.286Z</dcterms:modified>
</cp:coreProperties>
</file>

<file path=docProps/custom.xml><?xml version="1.0" encoding="utf-8"?>
<Properties xmlns="http://schemas.openxmlformats.org/officeDocument/2006/custom-properties" xmlns:vt="http://schemas.openxmlformats.org/officeDocument/2006/docPropsVTypes"/>
</file>