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02 October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22A</w:t>
            </w:r>
          </w:p>
        </w:tc>
        <w:tc>
          <w:tcPr>
            <w:tcW w:type="dxa" w:w="6236"/>
          </w:tcPr>
          <w:p>
            <w:pPr>
              <w:spacing w:after="40" w:before="40"/>
            </w:pPr>
            <w:r/>
            <w:r>
              <w:rPr>
                <w:sz w:val="19"/>
              </w:rPr>
              <w:t>Single sign-on and access management (optional)</w:t>
            </w:r>
          </w:p>
        </w:tc>
        <w:tc>
          <w:tcPr>
            <w:tcW w:type="dxa" w:w="2041"/>
          </w:tcPr>
          <w:p>
            <w:pPr>
              <w:spacing w:after="40" w:before="40"/>
            </w:pPr>
            <w:r/>
            <w:r>
              <w:rPr>
                <w:sz w:val="19"/>
              </w:rPr>
              <w:t>2–3 h</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3"/>
      </w:pPr>
      <w:r>
        <w:t>3.2.1 Confirm the assignment group names before you go further</w:t>
      </w:r>
    </w:p>
    <w:p>
      <w:r>
        <w:rPr>
          <w:b w:val="0"/>
          <w:i w:val="0"/>
          <w:sz w:val="21"/>
        </w:rPr>
        <w:t>This single setting decides what the whole service can see, and getting it wrong costs more time than anything else in this guide. The names must match sys_user_group.name character for character — "Service Desk" will not find "IT Service Desk", and the failure is silent.</w:t>
      </w:r>
    </w:p>
    <w:p>
      <w:pPr>
        <w:spacing w:after="40" w:before="160"/>
        <w:keepNext/>
      </w:pPr>
      <w:r>
        <w:rPr>
          <w:b/>
          <w:color w:val="52514E"/>
          <w:sz w:val="19"/>
        </w:rPr>
        <w:t>Lists matching groups with their open and 30-day-resolved volumes</w:t>
      </w:r>
    </w:p>
    <w:p>
      <w:pPr>
        <w:spacing w:after="0" w:before="120" w:line="240" w:lineRule="auto"/>
        <w:ind w:left="170"/>
        <w:shd w:val="clear" w:color="auto" w:fill="F4F4F1"/>
      </w:pPr>
      <w:r>
        <w:rPr>
          <w:rFonts w:ascii="Consolas" w:hAnsi="Consolas"/>
          <w:color w:val="0B0B0B"/>
          <w:sz w:val="17"/>
        </w:rPr>
        <w:t xml:space="preserve">python ops/find_groups.py "Service Desk" </w:t>
      </w:r>
    </w:p>
    <w:p>
      <w:pPr>
        <w:spacing w:after="120" w:before="0"/>
      </w:pPr>
    </w:p>
    <w:p>
      <w:r>
        <w:rPr>
          <w:b w:val="0"/>
          <w:i w:val="0"/>
          <w:sz w:val="21"/>
        </w:rPr>
        <w:t>Paste the names it prints into servicenow.assignment_groups exactly as shown, then verify with:</w:t>
      </w:r>
    </w:p>
    <w:p>
      <w:pPr>
        <w:spacing w:after="0" w:before="120" w:line="240" w:lineRule="auto"/>
        <w:ind w:left="170"/>
        <w:shd w:val="clear" w:color="auto" w:fill="F4F4F1"/>
      </w:pPr>
      <w:r>
        <w:rPr>
          <w:rFonts w:ascii="Consolas" w:hAnsi="Consolas"/>
          <w:color w:val="0B0B0B"/>
          <w:sz w:val="17"/>
        </w:rPr>
        <w:t xml:space="preserve">python run.py doctor | grep "snow groups"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shorten or tidy the names.  </w:t>
      </w:r>
      <w:r>
        <w:rPr>
          <w:color w:val="52514E"/>
          <w:sz w:val="20"/>
        </w:rPr>
        <w:t>The advisor scopes queries with assignment_group.nameIN&lt;names&gt;. Because assignment_group stores a sys_id rather than text, the dot-walk to .name is what makes a human-readable name work at all — and it is an exact comparison. A name that does not exist contributes nothing and produces no warning from ServiceNow.</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 and every duration matches what was recorded.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w:t>
      </w:r>
    </w:p>
    <w:p>
      <w:pPr>
        <w:pStyle w:val="Heading3"/>
      </w:pPr>
      <w:r>
        <w:t>Duration drift</w:t>
      </w:r>
    </w:p>
    <w:p>
      <w:r>
        <w:rPr>
          <w:b w:val="0"/>
          <w:i w:val="0"/>
          <w:sz w:val="21"/>
        </w:rPr>
        <w:t>Each entry in sla.definitions also records the duration the definition had when the map was written. Nothing is scored against it — live figures come from task_sla — but sla-map compares the two and marks any that have changed with an asterisk. This matters because retuning an SLA in ServiceNow is invisible from the advisor's side: sla_pct_consumed moves for every incident under that definition, sla_risk contributes at a different point, and the board reorders with nothing in the logs to explain it.</w:t>
      </w:r>
    </w:p>
    <w:p>
      <w:pPr>
        <w:spacing w:after="40" w:before="160"/>
        <w:keepNext/>
      </w:pPr>
      <w:r>
        <w:rPr>
          <w:b/>
          <w:color w:val="52514E"/>
          <w:sz w:val="19"/>
        </w:rPr>
        <w:t>What a retuned SLA looks like</w:t>
      </w:r>
    </w:p>
    <w:p>
      <w:pPr>
        <w:spacing w:after="0" w:before="120" w:line="240" w:lineRule="auto"/>
        <w:ind w:left="170"/>
        <w:shd w:val="clear" w:color="auto" w:fill="F4F4F1"/>
      </w:pPr>
      <w:r>
        <w:rPr>
          <w:rFonts w:ascii="Consolas" w:hAnsi="Consolas"/>
          <w:color w:val="0B0B0B"/>
          <w:sz w:val="17"/>
        </w:rPr>
        <w:t>RESOLUTION  Priority 3 (Medium) Resolution   SLA    4 Days *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WARNING: 1 definition(s) marked * have a different duration than</w:t>
      </w:r>
    </w:p>
    <w:p>
      <w:pPr>
        <w:spacing w:after="0" w:before="0" w:line="240" w:lineRule="auto"/>
        <w:ind w:left="170"/>
        <w:shd w:val="clear" w:color="auto" w:fill="F4F4F1"/>
      </w:pPr>
      <w:r>
        <w:rPr>
          <w:rFonts w:ascii="Consolas" w:hAnsi="Consolas"/>
          <w:color w:val="0B0B0B"/>
          <w:sz w:val="17"/>
        </w:rPr>
        <w:t>when this map was written. ...</w:t>
      </w:r>
    </w:p>
    <w:p>
      <w:pPr>
        <w:spacing w:after="0" w:before="0" w:line="240" w:lineRule="auto"/>
        <w:ind w:left="170"/>
        <w:shd w:val="clear" w:color="auto" w:fill="F4F4F1"/>
      </w:pPr>
      <w:r>
        <w:rPr>
          <w:rFonts w:ascii="Consolas" w:hAnsi="Consolas"/>
          <w:color w:val="0B0B0B"/>
          <w:sz w:val="17"/>
        </w:rPr>
        <w:t xml:space="preserve">    Priority 3 (Medium) Resolution: recorded '2 Days', now '4 Days'</w:t>
      </w:r>
    </w:p>
    <w:p>
      <w:pPr>
        <w:spacing w:after="120" w:before="0"/>
      </w:pPr>
    </w:p>
    <w:p>
      <w:r>
        <w:rPr>
          <w:b w:val="0"/>
          <w:i w:val="0"/>
          <w:sz w:val="21"/>
        </w:rPr>
        <w:t>Confirm the change was intended, then update the duration in conf.json to re-baseline.</w:t>
      </w:r>
    </w:p>
    <w:p>
      <w:pPr>
        <w:pStyle w:val="Heading3"/>
      </w:pPr>
      <w:r>
        <w:t>Exit codes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40"/>
            <w:shd w:val="clear" w:color="auto" w:fill="E8E8E3"/>
          </w:tcPr>
          <w:p>
            <w:pPr>
              <w:spacing w:after="40" w:before="40"/>
            </w:pPr>
            <w:r/>
            <w:r>
              <w:rPr>
                <w:b/>
                <w:sz w:val="19"/>
              </w:rPr>
              <w:t>Code</w:t>
            </w:r>
          </w:p>
        </w:tc>
        <w:tc>
          <w:tcPr>
            <w:tcW w:type="dxa" w:w="1701"/>
            <w:shd w:val="clear" w:color="auto" w:fill="E8E8E3"/>
          </w:tcPr>
          <w:p>
            <w:pPr>
              <w:spacing w:after="40" w:before="40"/>
            </w:pPr>
            <w:r/>
            <w:r>
              <w:rPr>
                <w:b/>
                <w:sz w:val="19"/>
              </w:rPr>
              <w:t>Meaning</w:t>
            </w:r>
          </w:p>
        </w:tc>
        <w:tc>
          <w:tcPr>
            <w:tcW w:type="dxa" w:w="1361"/>
            <w:shd w:val="clear" w:color="auto" w:fill="E8E8E3"/>
          </w:tcPr>
          <w:p>
            <w:pPr>
              <w:spacing w:after="40" w:before="40"/>
            </w:pPr>
            <w:r/>
            <w:r>
              <w:rPr>
                <w:b/>
                <w:sz w:val="19"/>
              </w:rPr>
              <w:t>Action</w:t>
            </w:r>
          </w:p>
        </w:tc>
      </w:tr>
      <w:tr>
        <w:tc>
          <w:tcPr>
            <w:tcW w:type="dxa" w:w="340"/>
          </w:tcPr>
          <w:p>
            <w:pPr>
              <w:spacing w:after="40" w:before="40"/>
            </w:pPr>
            <w:r/>
            <w:r>
              <w:rPr>
                <w:sz w:val="19"/>
              </w:rPr>
              <w:t>0</w:t>
            </w:r>
          </w:p>
        </w:tc>
        <w:tc>
          <w:tcPr>
            <w:tcW w:type="dxa" w:w="1701"/>
          </w:tcPr>
          <w:p>
            <w:pPr>
              <w:spacing w:after="40" w:before="40"/>
            </w:pPr>
            <w:r/>
            <w:r>
              <w:rPr>
                <w:sz w:val="19"/>
              </w:rPr>
              <w:t>Every definition explicitly mapped, no drift</w:t>
            </w:r>
          </w:p>
        </w:tc>
        <w:tc>
          <w:tcPr>
            <w:tcW w:type="dxa" w:w="1361"/>
          </w:tcPr>
          <w:p>
            <w:pPr>
              <w:spacing w:after="40" w:before="40"/>
            </w:pPr>
            <w:r/>
            <w:r>
              <w:rPr>
                <w:sz w:val="19"/>
              </w:rPr>
              <w:t>None</w:t>
            </w:r>
          </w:p>
        </w:tc>
      </w:tr>
      <w:tr>
        <w:tc>
          <w:tcPr>
            <w:tcW w:type="dxa" w:w="340"/>
          </w:tcPr>
          <w:p>
            <w:pPr>
              <w:spacing w:after="40" w:before="40"/>
            </w:pPr>
            <w:r/>
            <w:r>
              <w:rPr>
                <w:sz w:val="19"/>
              </w:rPr>
              <w:t>1</w:t>
            </w:r>
          </w:p>
        </w:tc>
        <w:tc>
          <w:tcPr>
            <w:tcW w:type="dxa" w:w="1701"/>
          </w:tcPr>
          <w:p>
            <w:pPr>
              <w:spacing w:after="40" w:before="40"/>
            </w:pPr>
            <w:r/>
            <w:r>
              <w:rPr>
                <w:sz w:val="19"/>
              </w:rPr>
              <w:t>No definitions found for the table</w:t>
            </w:r>
          </w:p>
        </w:tc>
        <w:tc>
          <w:tcPr>
            <w:tcW w:type="dxa" w:w="1361"/>
          </w:tcPr>
          <w:p>
            <w:pPr>
              <w:spacing w:after="40" w:before="40"/>
            </w:pPr>
            <w:r/>
            <w:r>
              <w:rPr>
                <w:sz w:val="19"/>
              </w:rPr>
              <w:t>Check the collection name and read ACLs</w:t>
            </w:r>
          </w:p>
        </w:tc>
      </w:tr>
      <w:tr>
        <w:tc>
          <w:tcPr>
            <w:tcW w:type="dxa" w:w="340"/>
          </w:tcPr>
          <w:p>
            <w:pPr>
              <w:spacing w:after="40" w:before="40"/>
            </w:pPr>
            <w:r/>
            <w:r>
              <w:rPr>
                <w:sz w:val="19"/>
              </w:rPr>
              <w:t>2</w:t>
            </w:r>
          </w:p>
        </w:tc>
        <w:tc>
          <w:tcPr>
            <w:tcW w:type="dxa" w:w="1701"/>
          </w:tcPr>
          <w:p>
            <w:pPr>
              <w:spacing w:after="40" w:before="40"/>
            </w:pPr>
            <w:r/>
            <w:r>
              <w:rPr>
                <w:sz w:val="19"/>
              </w:rPr>
              <w:t>One or more rely on the name-token fallback</w:t>
            </w:r>
          </w:p>
        </w:tc>
        <w:tc>
          <w:tcPr>
            <w:tcW w:type="dxa" w:w="1361"/>
          </w:tcPr>
          <w:p>
            <w:pPr>
              <w:spacing w:after="40" w:before="40"/>
            </w:pPr>
            <w:r/>
            <w:r>
              <w:rPr>
                <w:sz w:val="19"/>
              </w:rPr>
              <w:t>Paste the printed lines into conf.json</w:t>
            </w:r>
          </w:p>
        </w:tc>
      </w:tr>
      <w:tr>
        <w:tc>
          <w:tcPr>
            <w:tcW w:type="dxa" w:w="340"/>
          </w:tcPr>
          <w:p>
            <w:pPr>
              <w:spacing w:after="40" w:before="40"/>
            </w:pPr>
            <w:r/>
            <w:r>
              <w:rPr>
                <w:sz w:val="19"/>
              </w:rPr>
              <w:t>3</w:t>
            </w:r>
          </w:p>
        </w:tc>
        <w:tc>
          <w:tcPr>
            <w:tcW w:type="dxa" w:w="1701"/>
          </w:tcPr>
          <w:p>
            <w:pPr>
              <w:spacing w:after="40" w:before="40"/>
            </w:pPr>
            <w:r/>
            <w:r>
              <w:rPr>
                <w:sz w:val="19"/>
              </w:rPr>
              <w:t>A duration differs from the recorded value</w:t>
            </w:r>
          </w:p>
        </w:tc>
        <w:tc>
          <w:tcPr>
            <w:tcW w:type="dxa" w:w="1361"/>
          </w:tcPr>
          <w:p>
            <w:pPr>
              <w:spacing w:after="40" w:before="40"/>
            </w:pPr>
            <w:r/>
            <w:r>
              <w:rPr>
                <w:sz w:val="19"/>
              </w:rPr>
              <w:t>Confirm intended, then re-baseline</w:t>
            </w:r>
          </w:p>
        </w:tc>
      </w:tr>
    </w:tbl>
    <w:p>
      <w:pPr>
        <w:spacing w:after="80"/>
      </w:pPr>
    </w:p>
    <w:p>
      <w:r>
        <w:rPr>
          <w:b w:val="0"/>
          <w:i w:val="0"/>
          <w:sz w:val="21"/>
        </w:rPr>
        <w:t>Non-zero on both 2 and 3 makes this usable as a deployment gate or a weekly cron canary, not just a one-off check.</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 The same command now also catches a retune of an existing definition, which is otherwise completely silent.</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6.2.1 Upgrading an existing database</w:t>
      </w:r>
    </w:p>
    <w:p>
      <w:r>
        <w:rPr>
          <w:b w:val="0"/>
          <w:i w:val="0"/>
          <w:sz w:val="21"/>
        </w:rPr>
        <w:t>Skip this on a new installation. If the database was created before the terminology was formalised, apply the migration before restarting the service — the schema change and the code change must land together.</w:t>
      </w:r>
    </w:p>
    <w:p>
      <w:pPr>
        <w:spacing w:after="40" w:before="160"/>
        <w:keepNext/>
      </w:pPr>
      <w:r>
        <w:rPr>
          <w:b/>
          <w:color w:val="52514E"/>
          <w:sz w:val="19"/>
        </w:rPr>
        <w:t>Stop the service first — the running process holds the former column names</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mysql -u sd_advisor -p sd_advisor_db &lt; db/migrations/001_formalise_naming.sql</w:t>
      </w:r>
    </w:p>
    <w:p>
      <w:pPr>
        <w:spacing w:after="0" w:before="0" w:line="240" w:lineRule="auto"/>
        <w:ind w:left="170"/>
        <w:shd w:val="clear" w:color="auto" w:fill="F4F4F1"/>
      </w:pPr>
      <w:r>
        <w:rPr>
          <w:rFonts w:ascii="Consolas" w:hAnsi="Consolas"/>
          <w:color w:val="0B0B0B"/>
          <w:sz w:val="17"/>
        </w:rPr>
        <w:t>mysql -u sd_advisor -p sd_advisor_db &lt; db/migrations/002_utc_and_minutes.sql</w:t>
      </w:r>
    </w:p>
    <w:p>
      <w:pPr>
        <w:spacing w:after="0" w:before="0" w:line="240" w:lineRule="auto"/>
        <w:ind w:left="170"/>
        <w:shd w:val="clear" w:color="auto" w:fill="F4F4F1"/>
      </w:pPr>
      <w:r>
        <w:rPr>
          <w:rFonts w:ascii="Consolas" w:hAnsi="Consolas"/>
          <w:color w:val="0B0B0B"/>
          <w:sz w:val="17"/>
        </w:rPr>
        <w:t>mysql -u sd_advisor -p sd_advisor_db &lt; db/schema.sql     # recreates the view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start aged-ticket-advisor</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Change</w:t>
            </w:r>
          </w:p>
        </w:tc>
        <w:tc>
          <w:tcPr>
            <w:tcW w:type="dxa" w:w="1814"/>
            <w:shd w:val="clear" w:color="auto" w:fill="E8E8E3"/>
          </w:tcPr>
          <w:p>
            <w:pPr>
              <w:spacing w:after="40" w:before="40"/>
            </w:pPr>
            <w:r/>
            <w:r>
              <w:rPr>
                <w:b/>
                <w:sz w:val="19"/>
              </w:rPr>
              <w:t>Former name</w:t>
            </w:r>
          </w:p>
        </w:tc>
        <w:tc>
          <w:tcPr>
            <w:tcW w:type="dxa" w:w="2721"/>
            <w:shd w:val="clear" w:color="auto" w:fill="E8E8E3"/>
          </w:tcPr>
          <w:p>
            <w:pPr>
              <w:spacing w:after="40" w:before="40"/>
            </w:pPr>
            <w:r/>
            <w:r>
              <w:rPr>
                <w:b/>
                <w:sz w:val="19"/>
              </w:rPr>
              <w:t>Current name</w:t>
            </w:r>
          </w:p>
        </w:tc>
      </w:tr>
      <w:tr>
        <w:tc>
          <w:tcPr>
            <w:tcW w:type="dxa" w:w="1361"/>
          </w:tcPr>
          <w:p>
            <w:pPr>
              <w:spacing w:after="40" w:before="40"/>
            </w:pPr>
            <w:r/>
            <w:r>
              <w:rPr>
                <w:sz w:val="19"/>
              </w:rPr>
              <w:t>ticket_signal column</w:t>
            </w:r>
          </w:p>
        </w:tc>
        <w:tc>
          <w:tcPr>
            <w:tcW w:type="dxa" w:w="1814"/>
          </w:tcPr>
          <w:p>
            <w:pPr>
              <w:spacing w:after="40" w:before="40"/>
            </w:pPr>
            <w:r/>
            <w:r>
              <w:rPr>
                <w:sz w:val="19"/>
              </w:rPr>
              <w:t>ball_in_court</w:t>
            </w:r>
          </w:p>
        </w:tc>
        <w:tc>
          <w:tcPr>
            <w:tcW w:type="dxa" w:w="2721"/>
          </w:tcPr>
          <w:p>
            <w:pPr>
              <w:spacing w:after="40" w:before="40"/>
            </w:pPr>
            <w:r/>
            <w:r>
              <w:rPr>
                <w:sz w:val="19"/>
              </w:rPr>
              <w:t>pending_action_owner</w:t>
            </w:r>
          </w:p>
        </w:tc>
      </w:tr>
      <w:tr>
        <w:tc>
          <w:tcPr>
            <w:tcW w:type="dxa" w:w="1361"/>
          </w:tcPr>
          <w:p>
            <w:pPr>
              <w:spacing w:after="40" w:before="40"/>
            </w:pPr>
            <w:r/>
            <w:r>
              <w:rPr>
                <w:sz w:val="19"/>
              </w:rPr>
              <w:t>ticket_signal column</w:t>
            </w:r>
          </w:p>
        </w:tc>
        <w:tc>
          <w:tcPr>
            <w:tcW w:type="dxa" w:w="1814"/>
          </w:tcPr>
          <w:p>
            <w:pPr>
              <w:spacing w:after="40" w:before="40"/>
            </w:pPr>
            <w:r/>
            <w:r>
              <w:rPr>
                <w:sz w:val="19"/>
              </w:rPr>
              <w:t>p90_overrun</w:t>
            </w:r>
          </w:p>
        </w:tc>
        <w:tc>
          <w:tcPr>
            <w:tcW w:type="dxa" w:w="2721"/>
          </w:tcPr>
          <w:p>
            <w:pPr>
              <w:spacing w:after="40" w:before="40"/>
            </w:pPr>
            <w:r/>
            <w:r>
              <w:rPr>
                <w:sz w:val="19"/>
              </w:rPr>
              <w:t>duration_overrun</w:t>
            </w:r>
          </w:p>
        </w:tc>
      </w:tr>
      <w:tr>
        <w:tc>
          <w:tcPr>
            <w:tcW w:type="dxa" w:w="1361"/>
          </w:tcPr>
          <w:p>
            <w:pPr>
              <w:spacing w:after="40" w:before="40"/>
            </w:pPr>
            <w:r/>
            <w:r>
              <w:rPr>
                <w:sz w:val="19"/>
              </w:rPr>
              <w:t>Column value</w:t>
            </w:r>
          </w:p>
        </w:tc>
        <w:tc>
          <w:tcPr>
            <w:tcW w:type="dxa" w:w="1814"/>
          </w:tcPr>
          <w:p>
            <w:pPr>
              <w:spacing w:after="40" w:before="40"/>
            </w:pPr>
            <w:r/>
            <w:r>
              <w:rPr>
                <w:sz w:val="19"/>
              </w:rPr>
              <w:t>AGENT</w:t>
            </w:r>
          </w:p>
        </w:tc>
        <w:tc>
          <w:tcPr>
            <w:tcW w:type="dxa" w:w="2721"/>
          </w:tcPr>
          <w:p>
            <w:pPr>
              <w:spacing w:after="40" w:before="40"/>
            </w:pPr>
            <w:r/>
            <w:r>
              <w:rPr>
                <w:sz w:val="19"/>
              </w:rPr>
              <w:t>SERVICE_DESK</w:t>
            </w:r>
          </w:p>
        </w:tc>
      </w:tr>
      <w:tr>
        <w:tc>
          <w:tcPr>
            <w:tcW w:type="dxa" w:w="1361"/>
          </w:tcPr>
          <w:p>
            <w:pPr>
              <w:spacing w:after="40" w:before="40"/>
            </w:pPr>
            <w:r/>
            <w:r>
              <w:rPr>
                <w:sz w:val="19"/>
              </w:rPr>
              <w:t>Score component</w:t>
            </w:r>
          </w:p>
        </w:tc>
        <w:tc>
          <w:tcPr>
            <w:tcW w:type="dxa" w:w="1814"/>
          </w:tcPr>
          <w:p>
            <w:pPr>
              <w:spacing w:after="40" w:before="40"/>
            </w:pPr>
            <w:r/>
            <w:r>
              <w:rPr>
                <w:sz w:val="19"/>
              </w:rPr>
              <w:t>sla_jeopardy</w:t>
            </w:r>
          </w:p>
        </w:tc>
        <w:tc>
          <w:tcPr>
            <w:tcW w:type="dxa" w:w="2721"/>
          </w:tcPr>
          <w:p>
            <w:pPr>
              <w:spacing w:after="40" w:before="40"/>
            </w:pPr>
            <w:r/>
            <w:r>
              <w:rPr>
                <w:sz w:val="19"/>
              </w:rPr>
              <w:t>sla_risk</w:t>
            </w:r>
          </w:p>
        </w:tc>
      </w:tr>
      <w:tr>
        <w:tc>
          <w:tcPr>
            <w:tcW w:type="dxa" w:w="1361"/>
          </w:tcPr>
          <w:p>
            <w:pPr>
              <w:spacing w:after="40" w:before="40"/>
            </w:pPr>
            <w:r/>
            <w:r>
              <w:rPr>
                <w:sz w:val="19"/>
              </w:rPr>
              <w:t>Score component</w:t>
            </w:r>
          </w:p>
        </w:tc>
        <w:tc>
          <w:tcPr>
            <w:tcW w:type="dxa" w:w="1814"/>
          </w:tcPr>
          <w:p>
            <w:pPr>
              <w:spacing w:after="40" w:before="40"/>
            </w:pPr>
            <w:r/>
            <w:r>
              <w:rPr>
                <w:sz w:val="19"/>
              </w:rPr>
              <w:t>stagnation</w:t>
            </w:r>
          </w:p>
        </w:tc>
        <w:tc>
          <w:tcPr>
            <w:tcW w:type="dxa" w:w="2721"/>
          </w:tcPr>
          <w:p>
            <w:pPr>
              <w:spacing w:after="40" w:before="40"/>
            </w:pPr>
            <w:r/>
            <w:r>
              <w:rPr>
                <w:sz w:val="19"/>
              </w:rPr>
              <w:t>inactivity_duration</w:t>
            </w:r>
          </w:p>
        </w:tc>
      </w:tr>
      <w:tr>
        <w:tc>
          <w:tcPr>
            <w:tcW w:type="dxa" w:w="1361"/>
          </w:tcPr>
          <w:p>
            <w:pPr>
              <w:spacing w:after="40" w:before="40"/>
            </w:pPr>
            <w:r/>
            <w:r>
              <w:rPr>
                <w:sz w:val="19"/>
              </w:rPr>
              <w:t>Score component</w:t>
            </w:r>
          </w:p>
        </w:tc>
        <w:tc>
          <w:tcPr>
            <w:tcW w:type="dxa" w:w="1814"/>
          </w:tcPr>
          <w:p>
            <w:pPr>
              <w:spacing w:after="40" w:before="40"/>
            </w:pPr>
            <w:r/>
            <w:r>
              <w:rPr>
                <w:sz w:val="19"/>
              </w:rPr>
              <w:t>blocked_stale</w:t>
            </w:r>
          </w:p>
        </w:tc>
        <w:tc>
          <w:tcPr>
            <w:tcW w:type="dxa" w:w="2721"/>
          </w:tcPr>
          <w:p>
            <w:pPr>
              <w:spacing w:after="40" w:before="40"/>
            </w:pPr>
            <w:r/>
            <w:r>
              <w:rPr>
                <w:sz w:val="19"/>
              </w:rPr>
              <w:t>unactioned_delay</w:t>
            </w:r>
          </w:p>
        </w:tc>
      </w:tr>
      <w:tr>
        <w:tc>
          <w:tcPr>
            <w:tcW w:type="dxa" w:w="1361"/>
          </w:tcPr>
          <w:p>
            <w:pPr>
              <w:spacing w:after="40" w:before="40"/>
            </w:pPr>
            <w:r/>
            <w:r>
              <w:rPr>
                <w:sz w:val="19"/>
              </w:rPr>
              <w:t>Score component</w:t>
            </w:r>
          </w:p>
        </w:tc>
        <w:tc>
          <w:tcPr>
            <w:tcW w:type="dxa" w:w="1814"/>
          </w:tcPr>
          <w:p>
            <w:pPr>
              <w:spacing w:after="40" w:before="40"/>
            </w:pPr>
            <w:r/>
            <w:r>
              <w:rPr>
                <w:sz w:val="19"/>
              </w:rPr>
              <w:t>churn</w:t>
            </w:r>
          </w:p>
        </w:tc>
        <w:tc>
          <w:tcPr>
            <w:tcW w:type="dxa" w:w="2721"/>
          </w:tcPr>
          <w:p>
            <w:pPr>
              <w:spacing w:after="40" w:before="40"/>
            </w:pPr>
            <w:r/>
            <w:r>
              <w:rPr>
                <w:sz w:val="19"/>
              </w:rPr>
              <w:t>reassignment_activity</w:t>
            </w:r>
          </w:p>
        </w:tc>
      </w:tr>
      <w:tr>
        <w:tc>
          <w:tcPr>
            <w:tcW w:type="dxa" w:w="1361"/>
          </w:tcPr>
          <w:p>
            <w:pPr>
              <w:spacing w:after="40" w:before="40"/>
            </w:pPr>
            <w:r/>
            <w:r>
              <w:rPr>
                <w:sz w:val="19"/>
              </w:rPr>
              <w:t>Score component</w:t>
            </w:r>
          </w:p>
        </w:tc>
        <w:tc>
          <w:tcPr>
            <w:tcW w:type="dxa" w:w="1814"/>
          </w:tcPr>
          <w:p>
            <w:pPr>
              <w:spacing w:after="40" w:before="40"/>
            </w:pPr>
            <w:r/>
            <w:r>
              <w:rPr>
                <w:sz w:val="19"/>
              </w:rPr>
              <w:t>age / priority</w:t>
            </w:r>
          </w:p>
        </w:tc>
        <w:tc>
          <w:tcPr>
            <w:tcW w:type="dxa" w:w="2721"/>
          </w:tcPr>
          <w:p>
            <w:pPr>
              <w:spacing w:after="40" w:before="40"/>
            </w:pPr>
            <w:r/>
            <w:r>
              <w:rPr>
                <w:sz w:val="19"/>
              </w:rPr>
              <w:t>ticket_age / business_priority</w:t>
            </w:r>
          </w:p>
        </w:tc>
      </w:tr>
      <w:tr>
        <w:tc>
          <w:tcPr>
            <w:tcW w:type="dxa" w:w="1361"/>
          </w:tcPr>
          <w:p>
            <w:pPr>
              <w:spacing w:after="40" w:before="40"/>
            </w:pPr>
            <w:r/>
            <w:r>
              <w:rPr>
                <w:sz w:val="19"/>
              </w:rPr>
              <w:t>Risk flag</w:t>
            </w:r>
          </w:p>
        </w:tc>
        <w:tc>
          <w:tcPr>
            <w:tcW w:type="dxa" w:w="1814"/>
          </w:tcPr>
          <w:p>
            <w:pPr>
              <w:spacing w:after="40" w:before="40"/>
            </w:pPr>
            <w:r/>
            <w:r>
              <w:rPr>
                <w:sz w:val="19"/>
              </w:rPr>
              <w:t>CRITICALLY_STALE / STALE</w:t>
            </w:r>
          </w:p>
        </w:tc>
        <w:tc>
          <w:tcPr>
            <w:tcW w:type="dxa" w:w="2721"/>
          </w:tcPr>
          <w:p>
            <w:pPr>
              <w:spacing w:after="40" w:before="40"/>
            </w:pPr>
            <w:r/>
            <w:r>
              <w:rPr>
                <w:sz w:val="19"/>
              </w:rPr>
              <w:t>PROLONGED_INACTIVITY / NO_RECENT_ACTIVITY</w:t>
            </w:r>
          </w:p>
        </w:tc>
      </w:tr>
      <w:tr>
        <w:tc>
          <w:tcPr>
            <w:tcW w:type="dxa" w:w="1361"/>
          </w:tcPr>
          <w:p>
            <w:pPr>
              <w:spacing w:after="40" w:before="40"/>
            </w:pPr>
            <w:r/>
            <w:r>
              <w:rPr>
                <w:sz w:val="19"/>
              </w:rPr>
              <w:t>Risk flag</w:t>
            </w:r>
          </w:p>
        </w:tc>
        <w:tc>
          <w:tcPr>
            <w:tcW w:type="dxa" w:w="1814"/>
          </w:tcPr>
          <w:p>
            <w:pPr>
              <w:spacing w:after="40" w:before="40"/>
            </w:pPr>
            <w:r/>
            <w:r>
              <w:rPr>
                <w:sz w:val="19"/>
              </w:rPr>
              <w:t>SLA_JEOPARDY</w:t>
            </w:r>
          </w:p>
        </w:tc>
        <w:tc>
          <w:tcPr>
            <w:tcW w:type="dxa" w:w="2721"/>
          </w:tcPr>
          <w:p>
            <w:pPr>
              <w:spacing w:after="40" w:before="40"/>
            </w:pPr>
            <w:r/>
            <w:r>
              <w:rPr>
                <w:sz w:val="19"/>
              </w:rPr>
              <w:t>SLA_AT_RISK</w:t>
            </w:r>
          </w:p>
        </w:tc>
      </w:tr>
      <w:tr>
        <w:tc>
          <w:tcPr>
            <w:tcW w:type="dxa" w:w="1361"/>
          </w:tcPr>
          <w:p>
            <w:pPr>
              <w:spacing w:after="40" w:before="40"/>
            </w:pPr>
            <w:r/>
            <w:r>
              <w:rPr>
                <w:sz w:val="19"/>
              </w:rPr>
              <w:t>Risk flag</w:t>
            </w:r>
          </w:p>
        </w:tc>
        <w:tc>
          <w:tcPr>
            <w:tcW w:type="dxa" w:w="1814"/>
          </w:tcPr>
          <w:p>
            <w:pPr>
              <w:spacing w:after="40" w:before="40"/>
            </w:pPr>
            <w:r/>
            <w:r>
              <w:rPr>
                <w:sz w:val="19"/>
              </w:rPr>
              <w:t>NEVER_TOUCHED</w:t>
            </w:r>
          </w:p>
        </w:tc>
        <w:tc>
          <w:tcPr>
            <w:tcW w:type="dxa" w:w="2721"/>
          </w:tcPr>
          <w:p>
            <w:pPr>
              <w:spacing w:after="40" w:before="40"/>
            </w:pPr>
            <w:r/>
            <w:r>
              <w:rPr>
                <w:sz w:val="19"/>
              </w:rPr>
              <w:t>NO_ACTION_RECORDED</w:t>
            </w:r>
          </w:p>
        </w:tc>
      </w:tr>
      <w:tr>
        <w:tc>
          <w:tcPr>
            <w:tcW w:type="dxa" w:w="1361"/>
          </w:tcPr>
          <w:p>
            <w:pPr>
              <w:spacing w:after="40" w:before="40"/>
            </w:pPr>
            <w:r/>
            <w:r>
              <w:rPr>
                <w:sz w:val="19"/>
              </w:rPr>
              <w:t>Risk flag</w:t>
            </w:r>
          </w:p>
        </w:tc>
        <w:tc>
          <w:tcPr>
            <w:tcW w:type="dxa" w:w="1814"/>
          </w:tcPr>
          <w:p>
            <w:pPr>
              <w:spacing w:after="40" w:before="40"/>
            </w:pPr>
            <w:r/>
            <w:r>
              <w:rPr>
                <w:sz w:val="19"/>
              </w:rPr>
              <w:t>AUTO_CLOSE_CANDIDATE</w:t>
            </w:r>
          </w:p>
        </w:tc>
        <w:tc>
          <w:tcPr>
            <w:tcW w:type="dxa" w:w="2721"/>
          </w:tcPr>
          <w:p>
            <w:pPr>
              <w:spacing w:after="40" w:before="40"/>
            </w:pPr>
            <w:r/>
            <w:r>
              <w:rPr>
                <w:sz w:val="19"/>
              </w:rPr>
              <w:t>CLOSURE_CANDIDATE</w:t>
            </w:r>
          </w:p>
        </w:tc>
      </w:tr>
      <w:tr>
        <w:tc>
          <w:tcPr>
            <w:tcW w:type="dxa" w:w="1361"/>
          </w:tcPr>
          <w:p>
            <w:pPr>
              <w:spacing w:after="40" w:before="40"/>
            </w:pPr>
            <w:r/>
            <w:r>
              <w:rPr>
                <w:sz w:val="19"/>
              </w:rPr>
              <w:t>Risk flag</w:t>
            </w:r>
          </w:p>
        </w:tc>
        <w:tc>
          <w:tcPr>
            <w:tcW w:type="dxa" w:w="1814"/>
          </w:tcPr>
          <w:p>
            <w:pPr>
              <w:spacing w:after="40" w:before="40"/>
            </w:pPr>
            <w:r/>
            <w:r>
              <w:rPr>
                <w:sz w:val="19"/>
              </w:rPr>
              <w:t>KB_NOT_ATTACHED</w:t>
            </w:r>
          </w:p>
        </w:tc>
        <w:tc>
          <w:tcPr>
            <w:tcW w:type="dxa" w:w="2721"/>
          </w:tcPr>
          <w:p>
            <w:pPr>
              <w:spacing w:after="40" w:before="40"/>
            </w:pPr>
            <w:r/>
            <w:r>
              <w:rPr>
                <w:sz w:val="19"/>
              </w:rPr>
              <w:t>KB_ARTICLE_NOT_LINKED</w:t>
            </w:r>
          </w:p>
        </w:tc>
      </w:tr>
      <w:tr>
        <w:tc>
          <w:tcPr>
            <w:tcW w:type="dxa" w:w="1361"/>
          </w:tcPr>
          <w:p>
            <w:pPr>
              <w:spacing w:after="40" w:before="40"/>
            </w:pPr>
            <w:r/>
            <w:r>
              <w:rPr>
                <w:sz w:val="19"/>
              </w:rPr>
              <w:t>Risk flag</w:t>
            </w:r>
          </w:p>
        </w:tc>
        <w:tc>
          <w:tcPr>
            <w:tcW w:type="dxa" w:w="1814"/>
          </w:tcPr>
          <w:p>
            <w:pPr>
              <w:spacing w:after="40" w:before="40"/>
            </w:pPr>
            <w:r/>
            <w:r>
              <w:rPr>
                <w:sz w:val="19"/>
              </w:rPr>
              <w:t>PAST_EXPECTED_DURATION</w:t>
            </w:r>
          </w:p>
        </w:tc>
        <w:tc>
          <w:tcPr>
            <w:tcW w:type="dxa" w:w="2721"/>
          </w:tcPr>
          <w:p>
            <w:pPr>
              <w:spacing w:after="40" w:before="40"/>
            </w:pPr>
            <w:r/>
            <w:r>
              <w:rPr>
                <w:sz w:val="19"/>
              </w:rPr>
              <w:t>EXPECTED_DURATION_EXCEEDED</w:t>
            </w:r>
          </w:p>
        </w:tc>
      </w:tr>
    </w:tbl>
    <w:p>
      <w:pPr>
        <w:spacing w:after="80"/>
      </w:pPr>
    </w:p>
    <w:p>
      <w:r>
        <w:rPr>
          <w:b w:val="0"/>
          <w:i w:val="0"/>
          <w:sz w:val="21"/>
        </w:rPr>
        <w:t>The migration is idempotent and wrapped per statement, so a partially applied run can be completed by running the file again. Weight values, feedback rows and signal history are all preserved.</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The first recommendation pass after this migration will call the model for the entire backlog.  </w:t>
      </w:r>
      <w:r>
        <w:rPr>
          <w:color w:val="52514E"/>
          <w:sz w:val="20"/>
        </w:rPr>
        <w:t>The prompt now names pending_action_owner and the formalised risk flags, so every stored input_hash was computed against a superseded prompt. The migration marks those recommendations superseded deliberately, which forces one clean re-analysis rather than presenting advice that cites terminology no longer in use. Expect a single cost spike of roughly one model call per aged incident, then a return to normal cache behaviour.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Configuration keys were renamed too, but remain backward compatible.  </w:t>
      </w:r>
      <w:r>
        <w:rPr>
          <w:color w:val="52514E"/>
          <w:sz w:val="20"/>
        </w:rPr>
        <w:t>thresholds.inactivity_days, critical_inactivity_days, sla_risk_pct, closure_followup_count and closure_silence_days still work. Each logs a warning naming its replacement, because silently reverting to a default would change scoring with nothing to explain it. Update conf.json at your convenience — Section 11 lists the current names.</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every datetime twice. The value field is UTC. The display_value field is the same instant rendered in the integration user's timezone and in the integration user's date format. Both are correct; they are not interchangeable.</w:t>
      </w:r>
    </w:p>
    <w:p>
      <w:r>
        <w:rPr>
          <w:b w:val="0"/>
          <w:i w:val="0"/>
          <w:sz w:val="21"/>
        </w:rPr>
        <w:t>Every read in this project uses sysparm_display_value=all and takes the value side for each datetime, the display_value side for references and choices. Elapsed time is then measured against utc_now(). Neither side of that subtraction depends on a ServiceNow user profile, so no administrator action can silently skew an age.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969"/>
            <w:shd w:val="clear" w:color="auto" w:fill="E8E8E3"/>
          </w:tcPr>
          <w:p>
            <w:pPr>
              <w:spacing w:after="40" w:before="40"/>
            </w:pPr>
            <w:r/>
            <w:r>
              <w:rPr>
                <w:b/>
                <w:sz w:val="19"/>
              </w:rPr>
              <w:t>Field kind</w:t>
            </w:r>
          </w:p>
        </w:tc>
        <w:tc>
          <w:tcPr>
            <w:tcW w:type="dxa" w:w="1247"/>
            <w:shd w:val="clear" w:color="auto" w:fill="E8E8E3"/>
          </w:tcPr>
          <w:p>
            <w:pPr>
              <w:spacing w:after="40" w:before="40"/>
            </w:pPr>
            <w:r/>
            <w:r>
              <w:rPr>
                <w:b/>
                <w:sz w:val="19"/>
              </w:rPr>
              <w:t>Side read</w:t>
            </w:r>
          </w:p>
        </w:tc>
        <w:tc>
          <w:tcPr>
            <w:tcW w:type="dxa" w:w="3515"/>
            <w:shd w:val="clear" w:color="auto" w:fill="E8E8E3"/>
          </w:tcPr>
          <w:p>
            <w:pPr>
              <w:spacing w:after="40" w:before="40"/>
            </w:pPr>
            <w:r/>
            <w:r>
              <w:rPr>
                <w:b/>
                <w:sz w:val="19"/>
              </w:rPr>
              <w:t>Why</w:t>
            </w:r>
          </w:p>
        </w:tc>
      </w:tr>
      <w:tr>
        <w:tc>
          <w:tcPr>
            <w:tcW w:type="dxa" w:w="3969"/>
          </w:tcPr>
          <w:p>
            <w:pPr>
              <w:spacing w:after="40" w:before="40"/>
            </w:pPr>
            <w:r/>
            <w:r>
              <w:rPr>
                <w:sz w:val="19"/>
              </w:rPr>
              <w:t>opened_at, sys_updated_on, resolved_at, update_time</w:t>
            </w:r>
          </w:p>
        </w:tc>
        <w:tc>
          <w:tcPr>
            <w:tcW w:type="dxa" w:w="1247"/>
          </w:tcPr>
          <w:p>
            <w:pPr>
              <w:spacing w:after="40" w:before="40"/>
            </w:pPr>
            <w:r/>
            <w:r>
              <w:rPr>
                <w:sz w:val="19"/>
              </w:rPr>
              <w:t>value</w:t>
            </w:r>
          </w:p>
        </w:tc>
        <w:tc>
          <w:tcPr>
            <w:tcW w:type="dxa" w:w="3515"/>
          </w:tcPr>
          <w:p>
            <w:pPr>
              <w:spacing w:after="40" w:before="40"/>
            </w:pPr>
            <w:r/>
            <w:r>
              <w:rPr>
                <w:sz w:val="19"/>
              </w:rPr>
              <w:t>UTC, directly comparable with utc_now()</w:t>
            </w:r>
          </w:p>
        </w:tc>
      </w:tr>
      <w:tr>
        <w:tc>
          <w:tcPr>
            <w:tcW w:type="dxa" w:w="3969"/>
          </w:tcPr>
          <w:p>
            <w:pPr>
              <w:spacing w:after="40" w:before="40"/>
            </w:pPr>
            <w:r/>
            <w:r>
              <w:rPr>
                <w:sz w:val="19"/>
              </w:rPr>
              <w:t>state, priority, assignment_group, category</w:t>
            </w:r>
          </w:p>
        </w:tc>
        <w:tc>
          <w:tcPr>
            <w:tcW w:type="dxa" w:w="1247"/>
          </w:tcPr>
          <w:p>
            <w:pPr>
              <w:spacing w:after="40" w:before="40"/>
            </w:pPr>
            <w:r/>
            <w:r>
              <w:rPr>
                <w:sz w:val="19"/>
              </w:rPr>
              <w:t>display_value</w:t>
            </w:r>
          </w:p>
        </w:tc>
        <w:tc>
          <w:tcPr>
            <w:tcW w:type="dxa" w:w="3515"/>
          </w:tcPr>
          <w:p>
            <w:pPr>
              <w:spacing w:after="40" w:before="40"/>
            </w:pPr>
            <w:r/>
            <w:r>
              <w:rPr>
                <w:sz w:val="19"/>
              </w:rPr>
              <w:t>The human-readable label a lead expects</w:t>
            </w:r>
          </w:p>
        </w:tc>
      </w:tr>
      <w:tr>
        <w:tc>
          <w:tcPr>
            <w:tcW w:type="dxa" w:w="3969"/>
          </w:tcPr>
          <w:p>
            <w:pPr>
              <w:spacing w:after="40" w:before="40"/>
            </w:pPr>
            <w:r/>
            <w:r>
              <w:rPr>
                <w:sz w:val="19"/>
              </w:rPr>
              <w:t>business_time_left (task_sla)</w:t>
            </w:r>
          </w:p>
        </w:tc>
        <w:tc>
          <w:tcPr>
            <w:tcW w:type="dxa" w:w="1247"/>
          </w:tcPr>
          <w:p>
            <w:pPr>
              <w:spacing w:after="40" w:before="40"/>
            </w:pPr>
            <w:r/>
            <w:r>
              <w:rPr>
                <w:sz w:val="19"/>
              </w:rPr>
              <w:t>value</w:t>
            </w:r>
          </w:p>
        </w:tc>
        <w:tc>
          <w:tcPr>
            <w:tcW w:type="dxa" w:w="3515"/>
          </w:tcPr>
          <w:p>
            <w:pPr>
              <w:spacing w:after="40" w:before="40"/>
            </w:pPr>
            <w:r/>
            <w:r>
              <w:rPr>
                <w:sz w:val="19"/>
              </w:rPr>
              <w:t>An epoch offset; display_value is prose such as "2 Days 22 Hours"</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Setting the integration user to UTC is still worth doing.  </w:t>
      </w:r>
      <w:r>
        <w:rPr>
          <w:color w:val="52514E"/>
          <w:sz w:val="20"/>
        </w:rPr>
        <w:t>It is no longer required for correctness, but it makes value and display_value identical, so anything read out of ServiceNow by hand agrees with what the advisor stored. Confirm the current position with ops/probe_timezone.py, which prints the server clock, the user profile and the measured offset side by side.</w:t>
      </w:r>
    </w:p>
    <w:p>
      <w:pPr>
        <w:spacing w:after="40" w:before="160"/>
        <w:keepNext/>
      </w:pPr>
      <w:r>
        <w:rPr>
          <w:b/>
          <w:color w:val="52514E"/>
          <w:sz w:val="19"/>
        </w:rPr>
        <w:t>Reports the skew as a number rather than a theory</w:t>
      </w:r>
    </w:p>
    <w:p>
      <w:pPr>
        <w:spacing w:after="0" w:before="120" w:line="240" w:lineRule="auto"/>
        <w:ind w:left="170"/>
        <w:shd w:val="clear" w:color="auto" w:fill="F4F4F1"/>
      </w:pPr>
      <w:r>
        <w:rPr>
          <w:rFonts w:ascii="Consolas" w:hAnsi="Consolas"/>
          <w:color w:val="0B0B0B"/>
          <w:sz w:val="17"/>
        </w:rPr>
        <w:t>python ops/probe_timezone.py</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MySQL NOW() is not UTC.  </w:t>
      </w:r>
      <w:r>
        <w:rPr>
          <w:color w:val="52514E"/>
          <w:sz w:val="20"/>
        </w:rPr>
        <w:t>NOW() returns the MySQL session timezone, so every query in this project that compares against a stored timestamp uses UTC_TIMESTAMP() instead. Apply the same rule to any reporting query you write against these tables, or a snooze or retention comparison will be wrong by the database server offset.</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"inactivity_days": 2,</w:t>
      </w:r>
    </w:p>
    <w:p>
      <w:pPr>
        <w:spacing w:after="0" w:before="0" w:line="240" w:lineRule="auto"/>
        <w:ind w:left="170"/>
        <w:shd w:val="clear" w:color="auto" w:fill="F4F4F1"/>
      </w:pPr>
      <w:r>
        <w:rPr>
          <w:rFonts w:ascii="Consolas" w:hAnsi="Consolas"/>
          <w:color w:val="0B0B0B"/>
          <w:sz w:val="17"/>
        </w:rPr>
        <w:t xml:space="preserve">        "prolonged_inactivity_days": 4,</w:t>
      </w:r>
    </w:p>
    <w:p>
      <w:pPr>
        <w:spacing w:after="0" w:before="0" w:line="240" w:lineRule="auto"/>
        <w:ind w:left="170"/>
        <w:shd w:val="clear" w:color="auto" w:fill="F4F4F1"/>
      </w:pPr>
      <w:r>
        <w:rPr>
          <w:rFonts w:ascii="Consolas" w:hAnsi="Consolas"/>
          <w:color w:val="0B0B0B"/>
          <w:sz w:val="17"/>
        </w:rPr>
        <w:t xml:space="preserve">        "sla_risk_pct": 75,</w:t>
      </w:r>
    </w:p>
    <w:p>
      <w:pPr>
        <w:spacing w:after="0" w:before="0" w:line="240" w:lineRule="auto"/>
        <w:ind w:left="170"/>
        <w:shd w:val="clear" w:color="auto" w:fill="F4F4F1"/>
      </w:pPr>
      <w:r>
        <w:rPr>
          <w:rFonts w:ascii="Consolas" w:hAnsi="Consolas"/>
          <w:color w:val="0B0B0B"/>
          <w:sz w:val="17"/>
        </w:rPr>
        <w:t xml:space="preserve">        "closure_followup_count": 3,</w:t>
      </w:r>
    </w:p>
    <w:p>
      <w:pPr>
        <w:spacing w:after="0" w:before="0" w:line="240" w:lineRule="auto"/>
        <w:ind w:left="170"/>
        <w:shd w:val="clear" w:color="auto" w:fill="F4F4F1"/>
      </w:pPr>
      <w:r>
        <w:rPr>
          <w:rFonts w:ascii="Consolas" w:hAnsi="Consolas"/>
          <w:color w:val="0B0B0B"/>
          <w:sz w:val="17"/>
        </w:rPr>
        <w:t xml:space="preserve">        "closure_silence_days":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inactivity_days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prolonged_inactivity_days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inactivity-duration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sla_risk_pct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closure_followup_count</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closure_silence_days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non-zero on either an unmapped definition or a changed duration,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pStyle w:val="Heading3"/>
      </w:pPr>
      <w:r>
        <w:t>14.5 Check the KB count against ServiceNow</w:t>
      </w:r>
    </w:p>
    <w:p>
      <w:r>
        <w:rPr>
          <w:b w:val="0"/>
          <w:i w:val="0"/>
          <w:sz w:val="21"/>
        </w:rPr>
        <w:t>Do this explicitly. kb_indexed is a plausible-looking number whatever it is, and the only way to know it is right is to compare it with the published total. Note that kb_indexed is NOT affected by --days: the KB is always fetched in full, and the window applies only to resolved incidents.</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rows, total = ctx.snow._fetch_page('kb_knowledge', {</w:t>
      </w:r>
    </w:p>
    <w:p>
      <w:pPr>
        <w:spacing w:after="0" w:before="0" w:line="240" w:lineRule="auto"/>
        <w:ind w:left="170"/>
        <w:shd w:val="clear" w:color="auto" w:fill="F4F4F1"/>
      </w:pPr>
      <w:r>
        <w:rPr>
          <w:rFonts w:ascii="Consolas" w:hAnsi="Consolas"/>
          <w:color w:val="0B0B0B"/>
          <w:sz w:val="17"/>
        </w:rPr>
        <w:t xml:space="preserve">    'sysparm_query': 'workflow_state=published',</w:t>
      </w:r>
    </w:p>
    <w:p>
      <w:pPr>
        <w:spacing w:after="0" w:before="0" w:line="240" w:lineRule="auto"/>
        <w:ind w:left="170"/>
        <w:shd w:val="clear" w:color="auto" w:fill="F4F4F1"/>
      </w:pPr>
      <w:r>
        <w:rPr>
          <w:rFonts w:ascii="Consolas" w:hAnsi="Consolas"/>
          <w:color w:val="0B0B0B"/>
          <w:sz w:val="17"/>
        </w:rPr>
        <w:t xml:space="preserve">    'sysparm_fields': 'number', 'sysparm_limit': 1})</w:t>
      </w:r>
    </w:p>
    <w:p>
      <w:pPr>
        <w:spacing w:after="0" w:before="0" w:line="240" w:lineRule="auto"/>
        <w:ind w:left="170"/>
        <w:shd w:val="clear" w:color="auto" w:fill="F4F4F1"/>
      </w:pPr>
      <w:r>
        <w:rPr>
          <w:rFonts w:ascii="Consolas" w:hAnsi="Consolas"/>
          <w:color w:val="0B0B0B"/>
          <w:sz w:val="17"/>
        </w:rPr>
        <w:t>print(f'published articles matching the query : {total}')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articles = ctx.knowledge.get_published()</w:t>
      </w:r>
    </w:p>
    <w:p>
      <w:pPr>
        <w:spacing w:after="0" w:before="0" w:line="240" w:lineRule="auto"/>
        <w:ind w:left="170"/>
        <w:shd w:val="clear" w:color="auto" w:fill="F4F4F1"/>
      </w:pPr>
      <w:r>
        <w:rPr>
          <w:rFonts w:ascii="Consolas" w:hAnsi="Consolas"/>
          <w:color w:val="0B0B0B"/>
          <w:sz w:val="17"/>
        </w:rPr>
        <w:t>print(f'readable by the integration user      : {len(articles)}')</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 gap between these two figures is normal — knowledge base access is governed by user criteria, so an integration account legitimately sees a subset. What matters is that the gap is explainable. The client logs the same comparison at INFO on every paginated read:</w:t>
      </w:r>
    </w:p>
    <w:p>
      <w:pPr>
        <w:spacing w:after="0" w:before="120" w:line="240" w:lineRule="auto"/>
        <w:ind w:left="170"/>
        <w:shd w:val="clear" w:color="auto" w:fill="F4F4F1"/>
      </w:pPr>
      <w:r>
        <w:rPr>
          <w:rFonts w:ascii="Consolas" w:hAnsi="Consolas"/>
          <w:color w:val="0B0B0B"/>
          <w:sz w:val="17"/>
        </w:rPr>
        <w:t>INFO [core.snow] kb_knowledge: query matched 4409 records, 191 readable by svc.advisor</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 large unexplained gap means missing read access, not a bug.  </w:t>
      </w:r>
      <w:r>
        <w:rPr>
          <w:color w:val="52514E"/>
          <w:sz w:val="20"/>
        </w:rPr>
        <w:t>If the integration user should see more than it does, the fix is in ServiceNow: add the account to the user criteria on the relevant knowledge bases. Indexing only a fraction of the KB does not fail loudly — it just produces fewer grounded citations, which reads as the model being unhelpful rather than as a permissions problem.</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pending_action_owner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pending_action_owner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pending_action_owner;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pending_action_owner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every configured group name a real one? (fails loudly if not)</w:t>
      </w:r>
    </w:p>
    <w:p>
      <w:pPr>
        <w:spacing w:after="0" w:before="0" w:line="240" w:lineRule="auto"/>
        <w:ind w:left="170"/>
        <w:shd w:val="clear" w:color="auto" w:fill="F4F4F1"/>
      </w:pPr>
      <w:r>
        <w:rPr>
          <w:rFonts w:ascii="Consolas" w:hAnsi="Consolas"/>
          <w:color w:val="0B0B0B"/>
          <w:sz w:val="17"/>
        </w:rPr>
        <w:t>python run.py doctor | grep "snow groups"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What are the real names, and how much traffic does each carry?</w:t>
      </w:r>
    </w:p>
    <w:p>
      <w:pPr>
        <w:spacing w:after="0" w:before="0" w:line="240" w:lineRule="auto"/>
        <w:ind w:left="170"/>
        <w:shd w:val="clear" w:color="auto" w:fill="F4F4F1"/>
      </w:pPr>
      <w:r>
        <w:rPr>
          <w:rFonts w:ascii="Consolas" w:hAnsi="Consolas"/>
          <w:color w:val="0B0B0B"/>
          <w:sz w:val="17"/>
        </w:rPr>
        <w:t>python ops/find_groups.py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Still nothing? Take the incident query apart clause by clause.</w:t>
      </w:r>
    </w:p>
    <w:p>
      <w:pPr>
        <w:spacing w:after="0" w:before="0" w:line="240" w:lineRule="auto"/>
        <w:ind w:left="170"/>
        <w:shd w:val="clear" w:color="auto" w:fill="F4F4F1"/>
      </w:pPr>
      <w:r>
        <w:rPr>
          <w:rFonts w:ascii="Consolas" w:hAnsi="Consolas"/>
          <w:color w:val="0B0B0B"/>
          <w:sz w:val="17"/>
        </w:rPr>
        <w:t>python ops/probe_resolved.py --days 30</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servicenow.assignment_groups does not match sys_user_group.name exactly — a trailing space, different capitalisation, or an abbreviation such as "Service Desk" where the group is really "IT Service Desk". The comparison is exact, and a near-miss returns HTTP 200 with an empty result rather than an error, so it presents as a quiet day rather than as a fault. The "snow groups" check in run.py doctor exists specifically to turn this into a visible failure.</w:t>
      </w:r>
    </w:p>
    <w:p>
      <w:pPr>
        <w:pStyle w:val="Heading3"/>
      </w:pPr>
      <w:r>
        <w:t>22.2.1 Why a wrong group name is silent</w:t>
      </w:r>
    </w:p>
    <w:p>
      <w:r>
        <w:rPr>
          <w:b w:val="0"/>
          <w:i w:val="0"/>
          <w:sz w:val="21"/>
        </w:rPr>
        <w:t>Two ServiceNow behaviours combine to hide this, and they fail in opposite directions. Knowing which one you are looking at saves a lot of 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64"/>
            <w:shd w:val="clear" w:color="auto" w:fill="E8E8E3"/>
          </w:tcPr>
          <w:p>
            <w:pPr>
              <w:spacing w:after="40" w:before="40"/>
            </w:pPr>
            <w:r/>
            <w:r>
              <w:rPr>
                <w:b/>
                <w:sz w:val="19"/>
              </w:rPr>
              <w:t>Situation</w:t>
            </w:r>
          </w:p>
        </w:tc>
        <w:tc>
          <w:tcPr>
            <w:tcW w:type="dxa" w:w="1191"/>
            <w:shd w:val="clear" w:color="auto" w:fill="E8E8E3"/>
          </w:tcPr>
          <w:p>
            <w:pPr>
              <w:spacing w:after="40" w:before="40"/>
            </w:pPr>
            <w:r/>
            <w:r>
              <w:rPr>
                <w:b/>
                <w:sz w:val="19"/>
              </w:rPr>
              <w:t>What ServiceNow does</w:t>
            </w:r>
          </w:p>
        </w:tc>
        <w:tc>
          <w:tcPr>
            <w:tcW w:type="dxa" w:w="1247"/>
            <w:shd w:val="clear" w:color="auto" w:fill="E8E8E3"/>
          </w:tcPr>
          <w:p>
            <w:pPr>
              <w:spacing w:after="40" w:before="40"/>
            </w:pPr>
            <w:r/>
            <w:r>
              <w:rPr>
                <w:b/>
                <w:sz w:val="19"/>
              </w:rPr>
              <w:t>What you see</w:t>
            </w:r>
          </w:p>
        </w:tc>
      </w:tr>
      <w:tr>
        <w:tc>
          <w:tcPr>
            <w:tcW w:type="dxa" w:w="964"/>
          </w:tcPr>
          <w:p>
            <w:pPr>
              <w:spacing w:after="40" w:before="40"/>
            </w:pPr>
            <w:r/>
            <w:r>
              <w:rPr>
                <w:sz w:val="19"/>
              </w:rPr>
              <w:t>Valid query, no matching records</w:t>
            </w:r>
          </w:p>
        </w:tc>
        <w:tc>
          <w:tcPr>
            <w:tcW w:type="dxa" w:w="1191"/>
          </w:tcPr>
          <w:p>
            <w:pPr>
              <w:spacing w:after="40" w:before="40"/>
            </w:pPr>
            <w:r/>
            <w:r>
              <w:rPr>
                <w:sz w:val="19"/>
              </w:rPr>
              <w:t>Returns an empty result set, HTTP 200</w:t>
            </w:r>
          </w:p>
        </w:tc>
        <w:tc>
          <w:tcPr>
            <w:tcW w:type="dxa" w:w="1247"/>
          </w:tcPr>
          <w:p>
            <w:pPr>
              <w:spacing w:after="40" w:before="40"/>
            </w:pPr>
            <w:r/>
            <w:r>
              <w:rPr>
                <w:sz w:val="19"/>
              </w:rPr>
              <w:t>Zero tickets — looks like a quiet queue</w:t>
            </w:r>
          </w:p>
        </w:tc>
      </w:tr>
      <w:tr>
        <w:tc>
          <w:tcPr>
            <w:tcW w:type="dxa" w:w="964"/>
          </w:tcPr>
          <w:p>
            <w:pPr>
              <w:spacing w:after="40" w:before="40"/>
            </w:pPr>
            <w:r/>
            <w:r>
              <w:rPr>
                <w:sz w:val="19"/>
              </w:rPr>
              <w:t>Unparseable condition</w:t>
            </w:r>
          </w:p>
        </w:tc>
        <w:tc>
          <w:tcPr>
            <w:tcW w:type="dxa" w:w="1191"/>
          </w:tcPr>
          <w:p>
            <w:pPr>
              <w:spacing w:after="40" w:before="40"/>
            </w:pPr>
            <w:r/>
            <w:r>
              <w:rPr>
                <w:sz w:val="19"/>
              </w:rPr>
              <w:t>Drops that condition and runs the rest</w:t>
            </w:r>
          </w:p>
        </w:tc>
        <w:tc>
          <w:tcPr>
            <w:tcW w:type="dxa" w:w="1247"/>
          </w:tcPr>
          <w:p>
            <w:pPr>
              <w:spacing w:after="40" w:before="40"/>
            </w:pPr>
            <w:r/>
            <w:r>
              <w:rPr>
                <w:sz w:val="19"/>
              </w:rPr>
              <w:t>Too many tickets — a filter that appears to be off</w:t>
            </w:r>
          </w:p>
        </w:tc>
      </w:tr>
    </w:tbl>
    <w:p>
      <w:pPr>
        <w:spacing w:after="80"/>
      </w:pPr>
    </w:p>
    <w:p>
      <w:r>
        <w:rPr>
          <w:b w:val="0"/>
          <w:i w:val="0"/>
          <w:sz w:val="21"/>
        </w:rPr>
        <w:t>A misspelled group name is the first row. A malformed operator — the wrong relative-date unit, for instance — is the second. Because neither raises, always compare a suspect query against an unfiltered baseline: if adding a clause does not change the count, that clause is not being applied.</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22A. Single sign-on and access management</w:t>
      </w:r>
    </w:p>
    <w:p>
      <w:r>
        <w:rPr>
          <w:b w:val="0"/>
          <w:i w:val="0"/>
          <w:sz w:val="21"/>
        </w:rPr>
        <w:t>Optional. The service runs on local accounts out of the box; everything in this section is additive and each phase is independently reversible.</w:t>
      </w:r>
    </w:p>
    <w:p>
      <w:pPr>
        <w:pStyle w:val="Heading2"/>
      </w:pPr>
      <w:r>
        <w:t>22A.1 What is authoritative where</w:t>
      </w:r>
    </w:p>
    <w:p>
      <w:r>
        <w:rPr>
          <w:b w:val="0"/>
          <w:i w:val="0"/>
          <w:sz w:val="21"/>
        </w:rPr>
        <w:t>Keycloak authenticates. It does not authorise. The three roles live in advisor_user.role and Keycloak is never told they exist.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Fact</w:t>
            </w:r>
          </w:p>
        </w:tc>
        <w:tc>
          <w:tcPr>
            <w:tcW w:type="dxa" w:w="3402"/>
            <w:shd w:val="clear" w:color="auto" w:fill="E8E8E3"/>
          </w:tcPr>
          <w:p>
            <w:pPr>
              <w:spacing w:after="40" w:before="40"/>
            </w:pPr>
            <w:r/>
            <w:r>
              <w:rPr>
                <w:b/>
                <w:sz w:val="19"/>
              </w:rPr>
              <w:t>Source of truth</w:t>
            </w:r>
          </w:p>
        </w:tc>
        <w:tc>
          <w:tcPr>
            <w:tcW w:type="dxa" w:w="3288"/>
            <w:shd w:val="clear" w:color="auto" w:fill="E8E8E3"/>
          </w:tcPr>
          <w:p>
            <w:pPr>
              <w:spacing w:after="40" w:before="40"/>
            </w:pPr>
            <w:r/>
            <w:r>
              <w:rPr>
                <w:b/>
                <w:sz w:val="19"/>
              </w:rPr>
              <w:t>Stored in</w:t>
            </w:r>
          </w:p>
        </w:tc>
      </w:tr>
      <w:tr>
        <w:tc>
          <w:tcPr>
            <w:tcW w:type="dxa" w:w="2608"/>
          </w:tcPr>
          <w:p>
            <w:pPr>
              <w:spacing w:after="40" w:before="40"/>
            </w:pPr>
            <w:r/>
            <w:r>
              <w:rPr>
                <w:sz w:val="19"/>
              </w:rPr>
              <w:t>Who you are</w:t>
            </w:r>
          </w:p>
        </w:tc>
        <w:tc>
          <w:tcPr>
            <w:tcW w:type="dxa" w:w="3402"/>
          </w:tcPr>
          <w:p>
            <w:pPr>
              <w:spacing w:after="40" w:before="40"/>
            </w:pPr>
            <w:r/>
            <w:r>
              <w:rPr>
                <w:sz w:val="19"/>
              </w:rPr>
              <w:t>Keycloak → Entra ID</w:t>
            </w:r>
          </w:p>
        </w:tc>
        <w:tc>
          <w:tcPr>
            <w:tcW w:type="dxa" w:w="3288"/>
          </w:tcPr>
          <w:p>
            <w:pPr>
              <w:spacing w:after="40" w:before="40"/>
            </w:pPr>
            <w:r/>
            <w:r>
              <w:rPr>
                <w:sz w:val="19"/>
              </w:rPr>
              <w:t>—</w:t>
            </w:r>
          </w:p>
        </w:tc>
      </w:tr>
      <w:tr>
        <w:tc>
          <w:tcPr>
            <w:tcW w:type="dxa" w:w="2608"/>
          </w:tcPr>
          <w:p>
            <w:pPr>
              <w:spacing w:after="40" w:before="40"/>
            </w:pPr>
            <w:r/>
            <w:r>
              <w:rPr>
                <w:sz w:val="19"/>
              </w:rPr>
              <w:t>Identity key</w:t>
            </w:r>
          </w:p>
        </w:tc>
        <w:tc>
          <w:tcPr>
            <w:tcW w:type="dxa" w:w="3402"/>
          </w:tcPr>
          <w:p>
            <w:pPr>
              <w:spacing w:after="40" w:before="40"/>
            </w:pPr>
            <w:r/>
            <w:r>
              <w:rPr>
                <w:sz w:val="19"/>
              </w:rPr>
              <w:t>Entra oid claim</w:t>
            </w:r>
          </w:p>
        </w:tc>
        <w:tc>
          <w:tcPr>
            <w:tcW w:type="dxa" w:w="3288"/>
          </w:tcPr>
          <w:p>
            <w:pPr>
              <w:spacing w:after="40" w:before="40"/>
            </w:pPr>
            <w:r/>
            <w:r>
              <w:rPr>
                <w:sz w:val="19"/>
              </w:rPr>
              <w:t>advisor_user.external_id</w:t>
            </w:r>
          </w:p>
        </w:tc>
      </w:tr>
      <w:tr>
        <w:tc>
          <w:tcPr>
            <w:tcW w:type="dxa" w:w="2608"/>
          </w:tcPr>
          <w:p>
            <w:pPr>
              <w:spacing w:after="40" w:before="40"/>
            </w:pPr>
            <w:r/>
            <w:r>
              <w:rPr>
                <w:sz w:val="19"/>
              </w:rPr>
              <w:t>Name, email</w:t>
            </w:r>
          </w:p>
        </w:tc>
        <w:tc>
          <w:tcPr>
            <w:tcW w:type="dxa" w:w="3402"/>
          </w:tcPr>
          <w:p>
            <w:pPr>
              <w:spacing w:after="40" w:before="40"/>
            </w:pPr>
            <w:r/>
            <w:r>
              <w:rPr>
                <w:sz w:val="19"/>
              </w:rPr>
              <w:t>Token claims, refreshed each login</w:t>
            </w:r>
          </w:p>
        </w:tc>
        <w:tc>
          <w:tcPr>
            <w:tcW w:type="dxa" w:w="3288"/>
          </w:tcPr>
          <w:p>
            <w:pPr>
              <w:spacing w:after="40" w:before="40"/>
            </w:pPr>
            <w:r/>
            <w:r>
              <w:rPr>
                <w:sz w:val="19"/>
              </w:rPr>
              <w:t>advisor_user</w:t>
            </w:r>
          </w:p>
        </w:tc>
      </w:tr>
      <w:tr>
        <w:tc>
          <w:tcPr>
            <w:tcW w:type="dxa" w:w="2608"/>
          </w:tcPr>
          <w:p>
            <w:pPr>
              <w:spacing w:after="40" w:before="40"/>
            </w:pPr>
            <w:r/>
            <w:r>
              <w:rPr>
                <w:sz w:val="19"/>
              </w:rPr>
              <w:t>Role (ADMIN/LEAD/VIEWER)</w:t>
            </w:r>
          </w:p>
        </w:tc>
        <w:tc>
          <w:tcPr>
            <w:tcW w:type="dxa" w:w="3402"/>
          </w:tcPr>
          <w:p>
            <w:pPr>
              <w:spacing w:after="40" w:before="40"/>
            </w:pPr>
            <w:r/>
            <w:r>
              <w:rPr>
                <w:sz w:val="19"/>
              </w:rPr>
              <w:t>This application</w:t>
            </w:r>
          </w:p>
        </w:tc>
        <w:tc>
          <w:tcPr>
            <w:tcW w:type="dxa" w:w="3288"/>
          </w:tcPr>
          <w:p>
            <w:pPr>
              <w:spacing w:after="40" w:before="40"/>
            </w:pPr>
            <w:r/>
            <w:r>
              <w:rPr>
                <w:sz w:val="19"/>
              </w:rPr>
              <w:t>advisor_user.role</w:t>
            </w:r>
          </w:p>
        </w:tc>
      </w:tr>
      <w:tr>
        <w:tc>
          <w:tcPr>
            <w:tcW w:type="dxa" w:w="2608"/>
          </w:tcPr>
          <w:p>
            <w:pPr>
              <w:spacing w:after="40" w:before="40"/>
            </w:pPr>
            <w:r/>
            <w:r>
              <w:rPr>
                <w:sz w:val="19"/>
              </w:rPr>
              <w:t>Queue scope</w:t>
            </w:r>
          </w:p>
        </w:tc>
        <w:tc>
          <w:tcPr>
            <w:tcW w:type="dxa" w:w="3402"/>
          </w:tcPr>
          <w:p>
            <w:pPr>
              <w:spacing w:after="40" w:before="40"/>
            </w:pPr>
            <w:r/>
            <w:r>
              <w:rPr>
                <w:sz w:val="19"/>
              </w:rPr>
              <w:t>This application</w:t>
            </w:r>
          </w:p>
        </w:tc>
        <w:tc>
          <w:tcPr>
            <w:tcW w:type="dxa" w:w="3288"/>
          </w:tcPr>
          <w:p>
            <w:pPr>
              <w:spacing w:after="40" w:before="40"/>
            </w:pPr>
            <w:r/>
            <w:r>
              <w:rPr>
                <w:sz w:val="19"/>
              </w:rPr>
              <w:t>advisor_user.assignment_groups</w:t>
            </w:r>
          </w:p>
        </w:tc>
      </w:tr>
      <w:tr>
        <w:tc>
          <w:tcPr>
            <w:tcW w:type="dxa" w:w="2608"/>
          </w:tcPr>
          <w:p>
            <w:pPr>
              <w:spacing w:after="40" w:before="40"/>
            </w:pPr>
            <w:r/>
            <w:r>
              <w:rPr>
                <w:sz w:val="19"/>
              </w:rPr>
              <w:t>Account enabled</w:t>
            </w:r>
          </w:p>
        </w:tc>
        <w:tc>
          <w:tcPr>
            <w:tcW w:type="dxa" w:w="3402"/>
          </w:tcPr>
          <w:p>
            <w:pPr>
              <w:spacing w:after="40" w:before="40"/>
            </w:pPr>
            <w:r/>
            <w:r>
              <w:rPr>
                <w:sz w:val="19"/>
              </w:rPr>
              <w:t>Keycloak (read-only check)</w:t>
            </w:r>
          </w:p>
        </w:tc>
        <w:tc>
          <w:tcPr>
            <w:tcW w:type="dxa" w:w="3288"/>
          </w:tcPr>
          <w:p>
            <w:pPr>
              <w:spacing w:after="40" w:before="40"/>
            </w:pPr>
            <w:r/>
            <w:r>
              <w:rPr>
                <w:sz w:val="19"/>
              </w:rPr>
              <w:t>advisor_user.active</w:t>
            </w:r>
          </w:p>
        </w:tc>
      </w:tr>
      <w:tr>
        <w:tc>
          <w:tcPr>
            <w:tcW w:type="dxa" w:w="2608"/>
          </w:tcPr>
          <w:p>
            <w:pPr>
              <w:spacing w:after="40" w:before="40"/>
            </w:pPr>
            <w:r/>
            <w:r>
              <w:rPr>
                <w:sz w:val="19"/>
              </w:rPr>
              <w:t>Mail recipients</w:t>
            </w:r>
          </w:p>
        </w:tc>
        <w:tc>
          <w:tcPr>
            <w:tcW w:type="dxa" w:w="3402"/>
          </w:tcPr>
          <w:p>
            <w:pPr>
              <w:spacing w:after="40" w:before="40"/>
            </w:pPr>
            <w:r/>
            <w:r>
              <w:rPr>
                <w:sz w:val="19"/>
              </w:rPr>
              <w:t>Derived from advisor_user</w:t>
            </w:r>
          </w:p>
        </w:tc>
        <w:tc>
          <w:tcPr>
            <w:tcW w:type="dxa" w:w="3288"/>
          </w:tcPr>
          <w:p>
            <w:pPr>
              <w:spacing w:after="40" w:before="40"/>
            </w:pPr>
            <w:r/>
            <w:r>
              <w:rPr>
                <w:sz w:val="19"/>
              </w:rPr>
              <w:t>—</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Why roles are not Keycloak groups.  </w:t>
      </w:r>
      <w:r>
        <w:rPr>
          <w:color w:val="52514E"/>
          <w:sz w:val="20"/>
        </w:rPr>
        <w:t>Putting them there would require the service account to hold manage-users on the AIOT realm — a credential on this host able to reset passwords and rewrite group membership for every other application sharing that realm. The reconcile job needs view-users and nothing more. The trade is that access to this service is not visible in Keycloak's group view, so offboarding means checking two systems; the nightly job in 22A.6 closes that gap on a 24-hour lag.</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advisor_user is also the mail directory.  </w:t>
      </w:r>
      <w:r>
        <w:rPr>
          <w:color w:val="52514E"/>
          <w:sz w:val="20"/>
        </w:rPr>
        <w:t>delivery.dispatch reads it for leads_for() and _agent_directory(). An account removed from it stops receiving the digest and risk alerts — that is the intended offboarding mechanism, and it is why rows are deactivated rather than deleted. recommendation_feedback.user_name references these people indefinitely and the accuracy metrics are computed from that history.</w:t>
      </w:r>
    </w:p>
    <w:p>
      <w:pPr>
        <w:pStyle w:val="Heading2"/>
      </w:pPr>
      <w:r>
        <w:t>22A.2 Keycloak objects to create</w:t>
      </w:r>
    </w:p>
    <w:p>
      <w:r>
        <w:rPr>
          <w:b w:val="0"/>
          <w:i w:val="0"/>
          <w:sz w:val="21"/>
        </w:rPr>
        <w:t>One client and one theme. Nothing else.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Setting</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Client ID</w:t>
            </w:r>
          </w:p>
        </w:tc>
        <w:tc>
          <w:tcPr>
            <w:tcW w:type="dxa" w:w="6463"/>
          </w:tcPr>
          <w:p>
            <w:pPr>
              <w:spacing w:after="40" w:before="40"/>
            </w:pPr>
            <w:r/>
            <w:r>
              <w:rPr>
                <w:sz w:val="19"/>
              </w:rPr>
              <w:t>ata-web</w:t>
            </w:r>
          </w:p>
        </w:tc>
      </w:tr>
      <w:tr>
        <w:tc>
          <w:tcPr>
            <w:tcW w:type="dxa" w:w="2835"/>
          </w:tcPr>
          <w:p>
            <w:pPr>
              <w:spacing w:after="40" w:before="40"/>
            </w:pPr>
            <w:r/>
            <w:r>
              <w:rPr>
                <w:sz w:val="19"/>
              </w:rPr>
              <w:t>Client authentication</w:t>
            </w:r>
          </w:p>
        </w:tc>
        <w:tc>
          <w:tcPr>
            <w:tcW w:type="dxa" w:w="6463"/>
          </w:tcPr>
          <w:p>
            <w:pPr>
              <w:spacing w:after="40" w:before="40"/>
            </w:pPr>
            <w:r/>
            <w:r>
              <w:rPr>
                <w:sz w:val="19"/>
              </w:rPr>
              <w:t>On (confidential)</w:t>
            </w:r>
          </w:p>
        </w:tc>
      </w:tr>
      <w:tr>
        <w:tc>
          <w:tcPr>
            <w:tcW w:type="dxa" w:w="2835"/>
          </w:tcPr>
          <w:p>
            <w:pPr>
              <w:spacing w:after="40" w:before="40"/>
            </w:pPr>
            <w:r/>
            <w:r>
              <w:rPr>
                <w:sz w:val="19"/>
              </w:rPr>
              <w:t>Standard flow</w:t>
            </w:r>
          </w:p>
        </w:tc>
        <w:tc>
          <w:tcPr>
            <w:tcW w:type="dxa" w:w="6463"/>
          </w:tcPr>
          <w:p>
            <w:pPr>
              <w:spacing w:after="40" w:before="40"/>
            </w:pPr>
            <w:r/>
            <w:r>
              <w:rPr>
                <w:sz w:val="19"/>
              </w:rPr>
              <w:t>On</w:t>
            </w:r>
          </w:p>
        </w:tc>
      </w:tr>
      <w:tr>
        <w:tc>
          <w:tcPr>
            <w:tcW w:type="dxa" w:w="2835"/>
          </w:tcPr>
          <w:p>
            <w:pPr>
              <w:spacing w:after="40" w:before="40"/>
            </w:pPr>
            <w:r/>
            <w:r>
              <w:rPr>
                <w:sz w:val="19"/>
              </w:rPr>
              <w:t>Direct access grants</w:t>
            </w:r>
          </w:p>
        </w:tc>
        <w:tc>
          <w:tcPr>
            <w:tcW w:type="dxa" w:w="6463"/>
          </w:tcPr>
          <w:p>
            <w:pPr>
              <w:spacing w:after="40" w:before="40"/>
            </w:pPr>
            <w:r/>
            <w:r>
              <w:rPr>
                <w:sz w:val="19"/>
              </w:rPr>
              <w:t>Off — no password grant</w:t>
            </w:r>
          </w:p>
        </w:tc>
      </w:tr>
      <w:tr>
        <w:tc>
          <w:tcPr>
            <w:tcW w:type="dxa" w:w="2835"/>
          </w:tcPr>
          <w:p>
            <w:pPr>
              <w:spacing w:after="40" w:before="40"/>
            </w:pPr>
            <w:r/>
            <w:r>
              <w:rPr>
                <w:sz w:val="19"/>
              </w:rPr>
              <w:t>Implicit flow</w:t>
            </w:r>
          </w:p>
        </w:tc>
        <w:tc>
          <w:tcPr>
            <w:tcW w:type="dxa" w:w="6463"/>
          </w:tcPr>
          <w:p>
            <w:pPr>
              <w:spacing w:after="40" w:before="40"/>
            </w:pPr>
            <w:r/>
            <w:r>
              <w:rPr>
                <w:sz w:val="19"/>
              </w:rPr>
              <w:t>Off</w:t>
            </w:r>
          </w:p>
        </w:tc>
      </w:tr>
      <w:tr>
        <w:tc>
          <w:tcPr>
            <w:tcW w:type="dxa" w:w="2835"/>
          </w:tcPr>
          <w:p>
            <w:pPr>
              <w:spacing w:after="40" w:before="40"/>
            </w:pPr>
            <w:r/>
            <w:r>
              <w:rPr>
                <w:sz w:val="19"/>
              </w:rPr>
              <w:t>Service accounts</w:t>
            </w:r>
          </w:p>
        </w:tc>
        <w:tc>
          <w:tcPr>
            <w:tcW w:type="dxa" w:w="6463"/>
          </w:tcPr>
          <w:p>
            <w:pPr>
              <w:spacing w:after="40" w:before="40"/>
            </w:pPr>
            <w:r/>
            <w:r>
              <w:rPr>
                <w:sz w:val="19"/>
              </w:rPr>
              <w:t>Off</w:t>
            </w:r>
          </w:p>
        </w:tc>
      </w:tr>
      <w:tr>
        <w:tc>
          <w:tcPr>
            <w:tcW w:type="dxa" w:w="2835"/>
          </w:tcPr>
          <w:p>
            <w:pPr>
              <w:spacing w:after="40" w:before="40"/>
            </w:pPr>
            <w:r/>
            <w:r>
              <w:rPr>
                <w:sz w:val="19"/>
              </w:rPr>
              <w:t>Valid redirect URIs</w:t>
            </w:r>
          </w:p>
        </w:tc>
        <w:tc>
          <w:tcPr>
            <w:tcW w:type="dxa" w:w="6463"/>
          </w:tcPr>
          <w:p>
            <w:pPr>
              <w:spacing w:after="40" w:before="40"/>
            </w:pPr>
            <w:r/>
            <w:r>
              <w:rPr>
                <w:sz w:val="19"/>
              </w:rPr>
              <w:t>https://&lt;host&gt;/oidc/callback  (one literal path, no wildcard)</w:t>
            </w:r>
          </w:p>
        </w:tc>
      </w:tr>
      <w:tr>
        <w:tc>
          <w:tcPr>
            <w:tcW w:type="dxa" w:w="2835"/>
          </w:tcPr>
          <w:p>
            <w:pPr>
              <w:spacing w:after="40" w:before="40"/>
            </w:pPr>
            <w:r/>
            <w:r>
              <w:rPr>
                <w:sz w:val="19"/>
              </w:rPr>
              <w:t>Valid post logout URIs</w:t>
            </w:r>
          </w:p>
        </w:tc>
        <w:tc>
          <w:tcPr>
            <w:tcW w:type="dxa" w:w="6463"/>
          </w:tcPr>
          <w:p>
            <w:pPr>
              <w:spacing w:after="40" w:before="40"/>
            </w:pPr>
            <w:r/>
            <w:r>
              <w:rPr>
                <w:sz w:val="19"/>
              </w:rPr>
              <w:t>https://&lt;host&gt;/login</w:t>
            </w:r>
          </w:p>
        </w:tc>
      </w:tr>
      <w:tr>
        <w:tc>
          <w:tcPr>
            <w:tcW w:type="dxa" w:w="2835"/>
          </w:tcPr>
          <w:p>
            <w:pPr>
              <w:spacing w:after="40" w:before="40"/>
            </w:pPr>
            <w:r/>
            <w:r>
              <w:rPr>
                <w:sz w:val="19"/>
              </w:rPr>
              <w:t>Web origins</w:t>
            </w:r>
          </w:p>
        </w:tc>
        <w:tc>
          <w:tcPr>
            <w:tcW w:type="dxa" w:w="6463"/>
          </w:tcPr>
          <w:p>
            <w:pPr>
              <w:spacing w:after="40" w:before="40"/>
            </w:pPr>
            <w:r/>
            <w:r>
              <w:rPr>
                <w:sz w:val="19"/>
              </w:rPr>
              <w:t>+</w:t>
            </w:r>
          </w:p>
        </w:tc>
      </w:tr>
      <w:tr>
        <w:tc>
          <w:tcPr>
            <w:tcW w:type="dxa" w:w="2835"/>
          </w:tcPr>
          <w:p>
            <w:pPr>
              <w:spacing w:after="40" w:before="40"/>
            </w:pPr>
            <w:r/>
            <w:r>
              <w:rPr>
                <w:sz w:val="19"/>
              </w:rPr>
              <w:t>PKCE challenge method</w:t>
            </w:r>
          </w:p>
        </w:tc>
        <w:tc>
          <w:tcPr>
            <w:tcW w:type="dxa" w:w="6463"/>
          </w:tcPr>
          <w:p>
            <w:pPr>
              <w:spacing w:after="40" w:before="40"/>
            </w:pPr>
            <w:r/>
            <w:r>
              <w:rPr>
                <w:sz w:val="19"/>
              </w:rPr>
              <w:t>S256</w:t>
            </w:r>
          </w:p>
        </w:tc>
      </w:tr>
      <w:tr>
        <w:tc>
          <w:tcPr>
            <w:tcW w:type="dxa" w:w="2835"/>
          </w:tcPr>
          <w:p>
            <w:pPr>
              <w:spacing w:after="40" w:before="40"/>
            </w:pPr>
            <w:r/>
            <w:r>
              <w:rPr>
                <w:sz w:val="19"/>
              </w:rPr>
              <w:t>Login theme</w:t>
            </w:r>
          </w:p>
        </w:tc>
        <w:tc>
          <w:tcPr>
            <w:tcW w:type="dxa" w:w="6463"/>
          </w:tcPr>
          <w:p>
            <w:pPr>
              <w:spacing w:after="40" w:before="40"/>
            </w:pPr>
            <w:r/>
            <w:r>
              <w:rPr>
                <w:sz w:val="19"/>
              </w:rPr>
              <w:t>ata-login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The redirect URI is the browser-facing URL.  </w:t>
      </w:r>
      <w:r>
        <w:rPr>
          <w:color w:val="52514E"/>
          <w:sz w:val="20"/>
        </w:rPr>
        <w:t>If nginx fronts the service, it is the nginx URL — not :8444. Keycloak matches it exactly and a mismatch returns invalid_redirect_uri with no further detail. Never use a wildcard: https://host/* is an open-redirect primitive. "python3 run.py doctor" checks that this host matches web.base_url.</w:t>
      </w:r>
    </w:p>
    <w:p>
      <w:r>
        <w:rPr>
          <w:b w:val="0"/>
          <w:i w:val="0"/>
          <w:sz w:val="21"/>
        </w:rPr>
        <w:t>One non-default protocol mapper: a User Attribute mapper exposing Entra's oid as an oid claim on the ID token. email and name come from the built-in profile and email scopes — confirm email is actually populated, because an account without one signs in perfectly and then silently never receives a digest.</w:t>
      </w:r>
    </w:p>
    <w:p>
      <w:pPr>
        <w:pStyle w:val="Heading3"/>
      </w:pPr>
      <w:r>
        <w:t>Login theme</w:t>
      </w:r>
    </w:p>
    <w:p>
      <w:pPr>
        <w:spacing w:after="0" w:before="120" w:line="240" w:lineRule="auto"/>
        <w:ind w:left="170"/>
        <w:shd w:val="clear" w:color="auto" w:fill="F4F4F1"/>
      </w:pPr>
      <w:r>
        <w:rPr>
          <w:rFonts w:ascii="Consolas" w:hAnsi="Consolas"/>
          <w:color w:val="0B0B0B"/>
          <w:sz w:val="17"/>
        </w:rPr>
        <w:t>/opt/keycloak/themes/ata-login/login/</w:t>
      </w:r>
    </w:p>
    <w:p>
      <w:pPr>
        <w:spacing w:after="0" w:before="0" w:line="240" w:lineRule="auto"/>
        <w:ind w:left="170"/>
        <w:shd w:val="clear" w:color="auto" w:fill="F4F4F1"/>
      </w:pPr>
      <w:r>
        <w:rPr>
          <w:rFonts w:ascii="Consolas" w:hAnsi="Consolas"/>
          <w:color w:val="0B0B0B"/>
          <w:sz w:val="17"/>
        </w:rPr>
        <w:t>├── theme.properties          parent=keycloak</w:t>
      </w:r>
    </w:p>
    <w:p>
      <w:pPr>
        <w:spacing w:after="0" w:before="0" w:line="240" w:lineRule="auto"/>
        <w:ind w:left="170"/>
        <w:shd w:val="clear" w:color="auto" w:fill="F4F4F1"/>
      </w:pPr>
      <w:r>
        <w:rPr>
          <w:rFonts w:ascii="Consolas" w:hAnsi="Consolas"/>
          <w:color w:val="0B0B0B"/>
          <w:sz w:val="17"/>
        </w:rPr>
        <w:t>├── resources/css/login.css</w:t>
      </w:r>
    </w:p>
    <w:p>
      <w:pPr>
        <w:spacing w:after="0" w:before="0" w:line="240" w:lineRule="auto"/>
        <w:ind w:left="170"/>
        <w:shd w:val="clear" w:color="auto" w:fill="F4F4F1"/>
      </w:pPr>
      <w:r>
        <w:rPr>
          <w:rFonts w:ascii="Consolas" w:hAnsi="Consolas"/>
          <w:color w:val="0B0B0B"/>
          <w:sz w:val="17"/>
        </w:rPr>
        <w:t>└── messages/messages_en.properties</w:t>
      </w:r>
    </w:p>
    <w:p>
      <w:pPr>
        <w:spacing w:after="120" w:before="0"/>
      </w:pPr>
    </w:p>
    <w:p>
      <w:r>
        <w:rPr>
          <w:b w:val="0"/>
          <w:i w:val="0"/>
          <w:sz w:val="21"/>
        </w:rPr>
        <w:t>Set per client, not realm-wide — realm-wide would re-skin every other application's login too. Keep parent=keycloak and override CSS and wording only; forking login.ftl means inheriting every future Keycloak security fix by hand. In production add --spi-theme-static-max-age=2592000 --spi-theme-cache-themes=true.</w:t>
      </w:r>
    </w:p>
    <w:p>
      <w:pPr>
        <w:pStyle w:val="Heading2"/>
      </w:pPr>
      <w:r>
        <w:t>22A.3 Vault entries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061"/>
            <w:shd w:val="clear" w:color="auto" w:fill="E8E8E3"/>
          </w:tcPr>
          <w:p>
            <w:pPr>
              <w:spacing w:after="40" w:before="40"/>
            </w:pPr>
            <w:r/>
            <w:r>
              <w:rPr>
                <w:b/>
                <w:sz w:val="19"/>
              </w:rPr>
              <w:t>Key</w:t>
            </w:r>
          </w:p>
        </w:tc>
        <w:tc>
          <w:tcPr>
            <w:tcW w:type="dxa" w:w="3742"/>
            <w:shd w:val="clear" w:color="auto" w:fill="E8E8E3"/>
          </w:tcPr>
          <w:p>
            <w:pPr>
              <w:spacing w:after="40" w:before="40"/>
            </w:pPr>
            <w:r/>
            <w:r>
              <w:rPr>
                <w:b/>
                <w:sz w:val="19"/>
              </w:rPr>
              <w:t>Needed for</w:t>
            </w:r>
          </w:p>
        </w:tc>
      </w:tr>
      <w:tr>
        <w:tc>
          <w:tcPr>
            <w:tcW w:type="dxa" w:w="2494"/>
          </w:tcPr>
          <w:p>
            <w:pPr>
              <w:spacing w:after="40" w:before="40"/>
            </w:pPr>
            <w:r/>
            <w:r>
              <w:rPr>
                <w:sz w:val="19"/>
              </w:rPr>
              <w:t>sd_advisor_web</w:t>
            </w:r>
          </w:p>
        </w:tc>
        <w:tc>
          <w:tcPr>
            <w:tcW w:type="dxa" w:w="3061"/>
          </w:tcPr>
          <w:p>
            <w:pPr>
              <w:spacing w:after="40" w:before="40"/>
            </w:pPr>
            <w:r/>
            <w:r>
              <w:rPr>
                <w:sz w:val="19"/>
              </w:rPr>
              <w:t>oidc_client_secret</w:t>
            </w:r>
          </w:p>
        </w:tc>
        <w:tc>
          <w:tcPr>
            <w:tcW w:type="dxa" w:w="3742"/>
          </w:tcPr>
          <w:p>
            <w:pPr>
              <w:spacing w:after="40" w:before="40"/>
            </w:pPr>
            <w:r/>
            <w:r>
              <w:rPr>
                <w:sz w:val="19"/>
              </w:rPr>
              <w:t>The token exchange. Required for SSO.</w:t>
            </w:r>
          </w:p>
        </w:tc>
      </w:tr>
      <w:tr>
        <w:tc>
          <w:tcPr>
            <w:tcW w:type="dxa" w:w="2494"/>
          </w:tcPr>
          <w:p>
            <w:pPr>
              <w:spacing w:after="40" w:before="40"/>
            </w:pPr>
            <w:r/>
            <w:r>
              <w:rPr>
                <w:sz w:val="19"/>
              </w:rPr>
              <w:t>sd_advisor_web</w:t>
            </w:r>
          </w:p>
        </w:tc>
        <w:tc>
          <w:tcPr>
            <w:tcW w:type="dxa" w:w="3061"/>
          </w:tcPr>
          <w:p>
            <w:pPr>
              <w:spacing w:after="40" w:before="40"/>
            </w:pPr>
            <w:r/>
            <w:r>
              <w:rPr>
                <w:sz w:val="19"/>
              </w:rPr>
              <w:t>reconcile_client_secret</w:t>
            </w:r>
          </w:p>
        </w:tc>
        <w:tc>
          <w:tcPr>
            <w:tcW w:type="dxa" w:w="3742"/>
          </w:tcPr>
          <w:p>
            <w:pPr>
              <w:spacing w:after="40" w:before="40"/>
            </w:pPr>
            <w:r/>
            <w:r>
              <w:rPr>
                <w:sz w:val="19"/>
              </w:rPr>
              <w:t>The nightly job. Only if reconcile is enabled.</w:t>
            </w:r>
          </w:p>
        </w:tc>
      </w:tr>
    </w:tbl>
    <w:p>
      <w:pPr>
        <w:spacing w:after="80"/>
      </w:pPr>
    </w:p>
    <w:p>
      <w:pPr>
        <w:pStyle w:val="Heading2"/>
      </w:pPr>
      <w:r>
        <w:t>22A.4 Configuration</w:t>
      </w:r>
    </w:p>
    <w:p>
      <w:pPr>
        <w:spacing w:after="0" w:before="12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secret_key="$(cat config/.session_secret)" \</w:t>
      </w:r>
    </w:p>
    <w:p>
      <w:pPr>
        <w:spacing w:after="0" w:before="0" w:line="240" w:lineRule="auto"/>
        <w:ind w:left="170"/>
        <w:shd w:val="clear" w:color="auto" w:fill="F4F4F1"/>
      </w:pPr>
      <w:r>
        <w:rPr>
          <w:rFonts w:ascii="Consolas" w:hAnsi="Consolas"/>
          <w:color w:val="0B0B0B"/>
          <w:sz w:val="17"/>
        </w:rPr>
        <w:t xml:space="preserve">    oidc_client_secret='&lt;from Keycloak: Clients &gt; ata-web &gt; Credentials&gt;'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then in config/conf.json</w:t>
      </w:r>
    </w:p>
    <w:p>
      <w:pPr>
        <w:spacing w:after="0" w:before="0" w:line="240" w:lineRule="auto"/>
        <w:ind w:left="170"/>
        <w:shd w:val="clear" w:color="auto" w:fill="F4F4F1"/>
      </w:pPr>
      <w:r>
        <w:rPr>
          <w:rFonts w:ascii="Consolas" w:hAnsi="Consolas"/>
          <w:color w:val="0B0B0B"/>
          <w:sz w:val="17"/>
        </w:rPr>
        <w:t>"auth": {</w:t>
      </w:r>
    </w:p>
    <w:p>
      <w:pPr>
        <w:spacing w:after="0" w:before="0" w:line="240" w:lineRule="auto"/>
        <w:ind w:left="170"/>
        <w:shd w:val="clear" w:color="auto" w:fill="F4F4F1"/>
      </w:pPr>
      <w:r>
        <w:rPr>
          <w:rFonts w:ascii="Consolas" w:hAnsi="Consolas"/>
          <w:color w:val="0B0B0B"/>
          <w:sz w:val="17"/>
        </w:rPr>
        <w:t xml:space="preserve">  "mode": "both",</w:t>
      </w:r>
    </w:p>
    <w:p>
      <w:pPr>
        <w:spacing w:after="0" w:before="0" w:line="240" w:lineRule="auto"/>
        <w:ind w:left="170"/>
        <w:shd w:val="clear" w:color="auto" w:fill="F4F4F1"/>
      </w:pPr>
      <w:r>
        <w:rPr>
          <w:rFonts w:ascii="Consolas" w:hAnsi="Consolas"/>
          <w:color w:val="0B0B0B"/>
          <w:sz w:val="17"/>
        </w:rPr>
        <w:t xml:space="preserve">  "oidc": {</w:t>
      </w:r>
    </w:p>
    <w:p>
      <w:pPr>
        <w:spacing w:after="0" w:before="0" w:line="240" w:lineRule="auto"/>
        <w:ind w:left="170"/>
        <w:shd w:val="clear" w:color="auto" w:fill="F4F4F1"/>
      </w:pPr>
      <w:r>
        <w:rPr>
          <w:rFonts w:ascii="Consolas" w:hAnsi="Consolas"/>
          <w:color w:val="0B0B0B"/>
          <w:sz w:val="17"/>
        </w:rPr>
        <w:t xml:space="preserve">    "issuer": "https://keycloak.kohlerco.com/realms/AIOT",</w:t>
      </w:r>
    </w:p>
    <w:p>
      <w:pPr>
        <w:spacing w:after="0" w:before="0" w:line="240" w:lineRule="auto"/>
        <w:ind w:left="170"/>
        <w:shd w:val="clear" w:color="auto" w:fill="F4F4F1"/>
      </w:pPr>
      <w:r>
        <w:rPr>
          <w:rFonts w:ascii="Consolas" w:hAnsi="Consolas"/>
          <w:color w:val="0B0B0B"/>
          <w:sz w:val="17"/>
        </w:rPr>
        <w:t xml:space="preserve">    "client_id": "ata-web",</w:t>
      </w:r>
    </w:p>
    <w:p>
      <w:pPr>
        <w:spacing w:after="0" w:before="0" w:line="240" w:lineRule="auto"/>
        <w:ind w:left="170"/>
        <w:shd w:val="clear" w:color="auto" w:fill="F4F4F1"/>
      </w:pPr>
      <w:r>
        <w:rPr>
          <w:rFonts w:ascii="Consolas" w:hAnsi="Consolas"/>
          <w:color w:val="0B0B0B"/>
          <w:sz w:val="17"/>
        </w:rPr>
        <w:t xml:space="preserve">    "redirect_uri": "https://uswix865.kohlerco.com/oidc/callback",</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"/etc/pki/tls/certs/kohler-internal-ca.pem",</w:t>
      </w:r>
    </w:p>
    <w:p>
      <w:pPr>
        <w:spacing w:after="0" w:before="0" w:line="240" w:lineRule="auto"/>
        <w:ind w:left="170"/>
        <w:shd w:val="clear" w:color="auto" w:fill="F4F4F1"/>
      </w:pPr>
      <w:r>
        <w:rPr>
          <w:rFonts w:ascii="Consolas" w:hAnsi="Consolas"/>
          <w:color w:val="0B0B0B"/>
          <w:sz w:val="17"/>
        </w:rPr>
        <w:t xml:space="preserve">    "default_role": "VIEWER",</w:t>
      </w:r>
    </w:p>
    <w:p>
      <w:pPr>
        <w:spacing w:after="0" w:before="0" w:line="240" w:lineRule="auto"/>
        <w:ind w:left="170"/>
        <w:shd w:val="clear" w:color="auto" w:fill="F4F4F1"/>
      </w:pPr>
      <w:r>
        <w:rPr>
          <w:rFonts w:ascii="Consolas" w:hAnsi="Consolas"/>
          <w:color w:val="0B0B0B"/>
          <w:sz w:val="17"/>
        </w:rPr>
        <w:t xml:space="preserve">    "default_viewer_groups":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An internal CA will fail the token exchange.  </w:t>
      </w:r>
      <w:r>
        <w:rPr>
          <w:color w:val="52514E"/>
          <w:sz w:val="20"/>
        </w:rPr>
        <w:t>Exactly as it did against ServiceNow. The fix is adding the issuing CA to auth.oidc.ca_bundle. Do not set verify_tls false to work around it — that request carries the client secret and the authorization code, and over an unverified channel the whole flow is forgeable.</w:t>
      </w:r>
    </w:p>
    <w:p>
      <w:pPr>
        <w:pStyle w:val="Heading2"/>
      </w:pPr>
      <w:r>
        <w:t>22A.5 How a person gets a role</w:t>
      </w:r>
    </w:p>
    <w:p>
      <w:pPr>
        <w:pStyle w:val="ListNumber"/>
        <w:spacing w:after="60"/>
        <w:ind w:left="397"/>
      </w:pPr>
      <w:r>
        <w:rPr>
          <w:sz w:val="21"/>
        </w:rPr>
        <w:t>First sign-in creates a VIEWER account automatically, scoped to auth.oidc.default_viewer_groups.</w:t>
      </w:r>
    </w:p>
    <w:p>
      <w:pPr>
        <w:pStyle w:val="ListNumber"/>
        <w:spacing w:after="60"/>
        <w:ind w:left="397"/>
      </w:pPr>
      <w:r>
        <w:rPr>
          <w:sz w:val="21"/>
        </w:rPr>
        <w:t>From their profile page they request Lead access, giving a justification and choosing the queues they need.</w:t>
      </w:r>
    </w:p>
    <w:p>
      <w:pPr>
        <w:pStyle w:val="ListNumber"/>
        <w:spacing w:after="60"/>
        <w:ind w:left="397"/>
      </w:pPr>
      <w:r>
        <w:rPr>
          <w:sz w:val="21"/>
        </w:rPr>
        <w:t>Every active administrator is emailed, and a badge appears in the navigation.</w:t>
      </w:r>
    </w:p>
    <w:p>
      <w:pPr>
        <w:pStyle w:val="ListNumber"/>
        <w:spacing w:after="60"/>
        <w:ind w:left="397"/>
      </w:pPr>
      <w:r>
        <w:rPr>
          <w:sz w:val="21"/>
        </w:rPr>
        <w:t>One administrator opens the request, adjusts the queues if needed, and approves or declines.</w:t>
      </w:r>
    </w:p>
    <w:p>
      <w:pPr>
        <w:pStyle w:val="ListNumber"/>
        <w:spacing w:after="60"/>
        <w:ind w:left="397"/>
      </w:pPr>
      <w:r>
        <w:rPr>
          <w:sz w:val="21"/>
        </w:rPr>
        <w:t>The change applies on that person's next click. No re-login.</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default_viewer_groups is readable by anyone in the realm.  </w:t>
      </w:r>
      <w:r>
        <w:rPr>
          <w:color w:val="52514E"/>
          <w:sz w:val="20"/>
        </w:rPr>
        <w:t>Any Entra account that can reach Keycloak can obtain a VIEWER account here. Whatever is in that list is what they can read — incident descriptions and caller names included. The code default is [] (the board renders with a banner explaining there is no scope yet), and setting it is meant to be a deliberate decision at deploy time rather than one inherited from a sample file.</w:t>
      </w:r>
    </w:p>
    <w:p>
      <w:r>
        <w:rPr>
          <w:b w:val="0"/>
          <w:i w:val="0"/>
          <w:sz w:val="21"/>
        </w:rPr>
        <w:t>A VIEWER receives no email at all — leads_for() selects on role IN (ADMIN, LEAD) — so auto-provisioning cannot accidentally add anyone to the digest.</w:t>
      </w:r>
    </w:p>
    <w:p>
      <w:pPr>
        <w:pStyle w:val="Heading3"/>
      </w:pPr>
      <w:r>
        <w:t>Why the email buttons are links, not actions</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make the approve link act on GET.  </w:t>
      </w:r>
      <w:r>
        <w:rPr>
          <w:color w:val="52514E"/>
          <w:sz w:val="20"/>
        </w:rPr>
        <w:t>Microsoft Defender for Office 365 Safe Links fetches URLs found in email in order to scan them, and so do most mail security gateways. A link that granted the role on GET would approve every request within seconds of sending, before any human saw it, attributed to nobody. The link in the notification renders a page; the grant is a POST from an authenticated administrator's session. That also means a forwarded email confers nothing, and the audit row records which administrator actually decided.</w:t>
      </w:r>
    </w:p>
    <w:p>
      <w:r>
        <w:rPr>
          <w:b w:val="0"/>
          <w:i w:val="0"/>
          <w:sz w:val="21"/>
        </w:rPr>
        <w:t>Decisions are guarded in SQL with AND status = 'PENDING', so two administrators clicking at the same moment — which is ordinary, they all get the same email — results in one grant and a clear "already approved by X" for the second.</w:t>
      </w:r>
    </w:p>
    <w:p>
      <w:pPr>
        <w:pStyle w:val="Heading3"/>
      </w:pPr>
      <w:r>
        <w:t>Granting ADMIN, and the first administrator</w:t>
      </w:r>
    </w:p>
    <w:p>
      <w:pPr>
        <w:spacing w:after="0" w:before="120" w:line="240" w:lineRule="auto"/>
        <w:ind w:left="170"/>
        <w:shd w:val="clear" w:color="auto" w:fill="F4F4F1"/>
      </w:pPr>
      <w:r>
        <w:rPr>
          <w:rFonts w:ascii="Consolas" w:hAnsi="Consolas"/>
          <w:color w:val="0B0B0B"/>
          <w:sz w:val="17"/>
        </w:rPr>
        <w:t>python3 run.py grant --username jane.doe --role ADMIN</w:t>
      </w:r>
    </w:p>
    <w:p>
      <w:pPr>
        <w:spacing w:after="0" w:before="0" w:line="240" w:lineRule="auto"/>
        <w:ind w:left="170"/>
        <w:shd w:val="clear" w:color="auto" w:fill="F4F4F1"/>
      </w:pPr>
      <w:r>
        <w:rPr>
          <w:rFonts w:ascii="Consolas" w:hAnsi="Consolas"/>
          <w:color w:val="0B0B0B"/>
          <w:sz w:val="17"/>
        </w:rPr>
        <w:t>python3 run.py grant --username asha.rao --role LEAD --groups "Service Desk"</w:t>
      </w:r>
    </w:p>
    <w:p>
      <w:pPr>
        <w:spacing w:after="120" w:before="0"/>
      </w:pPr>
    </w:p>
    <w:p>
      <w:r>
        <w:rPr>
          <w:b w:val="0"/>
          <w:i w:val="0"/>
          <w:sz w:val="21"/>
        </w:rPr>
        <w:t>ADMIN is deliberately absent from auth.role_requests.allowed_targets: it can change the scoring weights and trigger live mail to the whole lead group, so it is granted directly by someone who already holds it. Group names are validated against the real ServiceNow groups — a near-miss errors nowhere downstream, it simply matches no tickets and shows an empty board.</w:t>
      </w:r>
    </w:p>
    <w:p>
      <w:pPr>
        <w:pStyle w:val="Heading2"/>
      </w:pPr>
      <w:r>
        <w:t>22A.6 Offboarding</w:t>
      </w:r>
    </w:p>
    <w:p>
      <w:r>
        <w:rPr>
          <w:b w:val="0"/>
          <w:i w:val="0"/>
          <w:sz w:val="21"/>
        </w:rPr>
        <w:t>A leaver disabled in Entra can no longer sign in, but their row here stays active and they keep receiving the digest and every risk alert indefinitely. The nightly job closes that.</w:t>
      </w:r>
    </w:p>
    <w:p>
      <w:pPr>
        <w:spacing w:after="0" w:before="120" w:line="240" w:lineRule="auto"/>
        <w:ind w:left="170"/>
        <w:shd w:val="clear" w:color="auto" w:fill="F4F4F1"/>
      </w:pPr>
      <w:r>
        <w:rPr>
          <w:rFonts w:ascii="Consolas" w:hAnsi="Consolas"/>
          <w:color w:val="0B0B0B"/>
          <w:sz w:val="17"/>
        </w:rPr>
        <w:t>python3 run.py sync-users --dry-run     # prints the diff, changes nothing</w:t>
      </w:r>
    </w:p>
    <w:p>
      <w:pPr>
        <w:spacing w:after="0" w:before="0" w:line="240" w:lineRule="auto"/>
        <w:ind w:left="170"/>
        <w:shd w:val="clear" w:color="auto" w:fill="F4F4F1"/>
      </w:pPr>
      <w:r>
        <w:rPr>
          <w:rFonts w:ascii="Consolas" w:hAnsi="Consolas"/>
          <w:color w:val="0B0B0B"/>
          <w:sz w:val="17"/>
        </w:rPr>
        <w:t>python3 run.py sync-users               # applies it</w:t>
      </w:r>
    </w:p>
    <w:p>
      <w:pPr>
        <w:spacing w:after="120" w:before="0"/>
      </w:pPr>
    </w:p>
    <w:p>
      <w:r>
        <w:rPr>
          <w:b w:val="0"/>
          <w:i w:val="0"/>
          <w:sz w:val="21"/>
        </w:rPr>
        <w:t>Enable auth.reconcile.enabled and it also runs at 06:00 Europe/London — ahead of the 07:30 digest, so a deactivated account's last digest was yesterday's. The service account needs realm-management → view-users and nothing else.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Guard</w:t>
            </w:r>
          </w:p>
        </w:tc>
        <w:tc>
          <w:tcPr>
            <w:tcW w:type="dxa" w:w="3288"/>
            <w:shd w:val="clear" w:color="auto" w:fill="E8E8E3"/>
          </w:tcPr>
          <w:p>
            <w:pPr>
              <w:spacing w:after="40" w:before="40"/>
            </w:pPr>
            <w:r/>
            <w:r>
              <w:rPr>
                <w:b/>
                <w:sz w:val="19"/>
              </w:rPr>
              <w:t>Behaviour</w:t>
            </w:r>
          </w:p>
        </w:tc>
        <w:tc>
          <w:tcPr>
            <w:tcW w:type="dxa" w:w="3855"/>
            <w:shd w:val="clear" w:color="auto" w:fill="E8E8E3"/>
          </w:tcPr>
          <w:p>
            <w:pPr>
              <w:spacing w:after="40" w:before="40"/>
            </w:pPr>
            <w:r/>
            <w:r>
              <w:rPr>
                <w:b/>
                <w:sz w:val="19"/>
              </w:rPr>
              <w:t>What it prevents</w:t>
            </w:r>
          </w:p>
        </w:tc>
      </w:tr>
      <w:tr>
        <w:tc>
          <w:tcPr>
            <w:tcW w:type="dxa" w:w="2154"/>
          </w:tcPr>
          <w:p>
            <w:pPr>
              <w:spacing w:after="40" w:before="40"/>
            </w:pPr>
            <w:r/>
            <w:r>
              <w:rPr>
                <w:sz w:val="19"/>
              </w:rPr>
              <w:t>Local accounts untouched</w:t>
            </w:r>
          </w:p>
        </w:tc>
        <w:tc>
          <w:tcPr>
            <w:tcW w:type="dxa" w:w="3288"/>
          </w:tcPr>
          <w:p>
            <w:pPr>
              <w:spacing w:after="40" w:before="40"/>
            </w:pPr>
            <w:r/>
            <w:r>
              <w:rPr>
                <w:sz w:val="19"/>
              </w:rPr>
              <w:t>auth_source=LOCAL is never checked or deactivated</w:t>
            </w:r>
          </w:p>
        </w:tc>
        <w:tc>
          <w:tcPr>
            <w:tcW w:type="dxa" w:w="3855"/>
          </w:tcPr>
          <w:p>
            <w:pPr>
              <w:spacing w:after="40" w:before="40"/>
            </w:pPr>
            <w:r/>
            <w:r>
              <w:rPr>
                <w:sz w:val="19"/>
              </w:rPr>
              <w:t>Removing the break-glass administrator, which is deliberately unknown to Keycloak</w:t>
            </w:r>
          </w:p>
        </w:tc>
      </w:tr>
      <w:tr>
        <w:tc>
          <w:tcPr>
            <w:tcW w:type="dxa" w:w="2154"/>
          </w:tcPr>
          <w:p>
            <w:pPr>
              <w:spacing w:after="40" w:before="40"/>
            </w:pPr>
            <w:r/>
            <w:r>
              <w:rPr>
                <w:sz w:val="19"/>
              </w:rPr>
              <w:t>Proportional ceiling</w:t>
            </w:r>
          </w:p>
        </w:tc>
        <w:tc>
          <w:tcPr>
            <w:tcW w:type="dxa" w:w="3288"/>
          </w:tcPr>
          <w:p>
            <w:pPr>
              <w:spacing w:after="40" w:before="40"/>
            </w:pPr>
            <w:r/>
            <w:r>
              <w:rPr>
                <w:sz w:val="19"/>
              </w:rPr>
              <w:t>A run that would deactivate more than max_deactivate_pct changes nothing</w:t>
            </w:r>
          </w:p>
        </w:tc>
        <w:tc>
          <w:tcPr>
            <w:tcW w:type="dxa" w:w="3855"/>
          </w:tcPr>
          <w:p>
            <w:pPr>
              <w:spacing w:after="40" w:before="40"/>
            </w:pPr>
            <w:r/>
            <w:r>
              <w:rPr>
                <w:sz w:val="19"/>
              </w:rPr>
              <w:t>An expired service-account secret or an outage reading as "everyone left" and silencing the digest for the whole desk</w:t>
            </w:r>
          </w:p>
        </w:tc>
      </w:tr>
      <w:tr>
        <w:tc>
          <w:tcPr>
            <w:tcW w:type="dxa" w:w="2154"/>
          </w:tcPr>
          <w:p>
            <w:pPr>
              <w:spacing w:after="40" w:before="40"/>
            </w:pPr>
            <w:r/>
            <w:r>
              <w:rPr>
                <w:sz w:val="19"/>
              </w:rPr>
              <w:t>Admin floor</w:t>
            </w:r>
          </w:p>
        </w:tc>
        <w:tc>
          <w:tcPr>
            <w:tcW w:type="dxa" w:w="3288"/>
          </w:tcPr>
          <w:p>
            <w:pPr>
              <w:spacing w:after="40" w:before="40"/>
            </w:pPr>
            <w:r/>
            <w:r>
              <w:rPr>
                <w:sz w:val="19"/>
              </w:rPr>
              <w:t>The last active ADMIN is never deactivated</w:t>
            </w:r>
          </w:p>
        </w:tc>
        <w:tc>
          <w:tcPr>
            <w:tcW w:type="dxa" w:w="3855"/>
          </w:tcPr>
          <w:p>
            <w:pPr>
              <w:spacing w:after="40" w:before="40"/>
            </w:pPr>
            <w:r/>
            <w:r>
              <w:rPr>
                <w:sz w:val="19"/>
              </w:rPr>
              <w:t>A lockout with no UI path back</w:t>
            </w:r>
          </w:p>
        </w:tc>
      </w:tr>
      <w:tr>
        <w:tc>
          <w:tcPr>
            <w:tcW w:type="dxa" w:w="2154"/>
          </w:tcPr>
          <w:p>
            <w:pPr>
              <w:spacing w:after="40" w:before="40"/>
            </w:pPr>
            <w:r/>
            <w:r>
              <w:rPr>
                <w:sz w:val="19"/>
              </w:rPr>
              <w:t>Lookup errors excluded</w:t>
            </w:r>
          </w:p>
        </w:tc>
        <w:tc>
          <w:tcPr>
            <w:tcW w:type="dxa" w:w="3288"/>
          </w:tcPr>
          <w:p>
            <w:pPr>
              <w:spacing w:after="40" w:before="40"/>
            </w:pPr>
            <w:r/>
            <w:r>
              <w:rPr>
                <w:sz w:val="19"/>
              </w:rPr>
              <w:t>A failed lookup is logged and counted, never treated as departure</w:t>
            </w:r>
          </w:p>
        </w:tc>
        <w:tc>
          <w:tcPr>
            <w:tcW w:type="dxa" w:w="3855"/>
          </w:tcPr>
          <w:p>
            <w:pPr>
              <w:spacing w:after="40" w:before="40"/>
            </w:pPr>
            <w:r/>
            <w:r>
              <w:rPr>
                <w:sz w:val="19"/>
              </w:rPr>
              <w:t>A transient network fault deactivating a working account</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Never hard-delete an account.  </w:t>
      </w:r>
      <w:r>
        <w:rPr>
          <w:color w:val="52514E"/>
          <w:sz w:val="20"/>
        </w:rPr>
        <w:t>Deactivate. recommendation_feedback.user_name and suppression.created_by reference these people, and the accuracy page is computed from that history.</w:t>
      </w:r>
    </w:p>
    <w:p>
      <w:pPr>
        <w:pStyle w:val="Heading2"/>
      </w:pPr>
      <w:r>
        <w:t>22A.7 Rollout sequence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850"/>
            <w:shd w:val="clear" w:color="auto" w:fill="E8E8E3"/>
          </w:tcPr>
          <w:p>
            <w:pPr>
              <w:spacing w:after="40" w:before="40"/>
            </w:pPr>
            <w:r/>
            <w:r>
              <w:rPr>
                <w:b/>
                <w:sz w:val="19"/>
              </w:rPr>
              <w:t>Phase</w:t>
            </w:r>
          </w:p>
        </w:tc>
        <w:tc>
          <w:tcPr>
            <w:tcW w:type="dxa" w:w="5046"/>
            <w:shd w:val="clear" w:color="auto" w:fill="E8E8E3"/>
          </w:tcPr>
          <w:p>
            <w:pPr>
              <w:spacing w:after="40" w:before="40"/>
            </w:pPr>
            <w:r/>
            <w:r>
              <w:rPr>
                <w:b/>
                <w:sz w:val="19"/>
              </w:rPr>
              <w:t>Action</w:t>
            </w:r>
          </w:p>
        </w:tc>
        <w:tc>
          <w:tcPr>
            <w:tcW w:type="dxa" w:w="3402"/>
            <w:shd w:val="clear" w:color="auto" w:fill="E8E8E3"/>
          </w:tcPr>
          <w:p>
            <w:pPr>
              <w:spacing w:after="40" w:before="40"/>
            </w:pPr>
            <w:r/>
            <w:r>
              <w:rPr>
                <w:b/>
                <w:sz w:val="19"/>
              </w:rPr>
              <w:t>Reversal</w:t>
            </w:r>
          </w:p>
        </w:tc>
      </w:tr>
      <w:tr>
        <w:tc>
          <w:tcPr>
            <w:tcW w:type="dxa" w:w="850"/>
          </w:tcPr>
          <w:p>
            <w:pPr>
              <w:spacing w:after="40" w:before="40"/>
            </w:pPr>
            <w:r/>
            <w:r>
              <w:rPr>
                <w:sz w:val="19"/>
              </w:rPr>
              <w:t>1</w:t>
            </w:r>
          </w:p>
        </w:tc>
        <w:tc>
          <w:tcPr>
            <w:tcW w:type="dxa" w:w="5046"/>
          </w:tcPr>
          <w:p>
            <w:pPr>
              <w:spacing w:after="40" w:before="40"/>
            </w:pPr>
            <w:r/>
            <w:r>
              <w:rPr>
                <w:sz w:val="19"/>
              </w:rPr>
              <w:t>Apply migration 003. auth.mode stays "local". No behaviour change.</w:t>
            </w:r>
          </w:p>
        </w:tc>
        <w:tc>
          <w:tcPr>
            <w:tcW w:type="dxa" w:w="3402"/>
          </w:tcPr>
          <w:p>
            <w:pPr>
              <w:spacing w:after="40" w:before="40"/>
            </w:pPr>
            <w:r/>
            <w:r>
              <w:rPr>
                <w:sz w:val="19"/>
              </w:rPr>
              <w:t>Revert the migration</w:t>
            </w:r>
          </w:p>
        </w:tc>
      </w:tr>
      <w:tr>
        <w:tc>
          <w:tcPr>
            <w:tcW w:type="dxa" w:w="850"/>
          </w:tcPr>
          <w:p>
            <w:pPr>
              <w:spacing w:after="40" w:before="40"/>
            </w:pPr>
            <w:r/>
            <w:r>
              <w:rPr>
                <w:sz w:val="19"/>
              </w:rPr>
              <w:t>2</w:t>
            </w:r>
          </w:p>
        </w:tc>
        <w:tc>
          <w:tcPr>
            <w:tcW w:type="dxa" w:w="5046"/>
          </w:tcPr>
          <w:p>
            <w:pPr>
              <w:spacing w:after="40" w:before="40"/>
            </w:pPr>
            <w:r/>
            <w:r>
              <w:rPr>
                <w:sz w:val="19"/>
              </w:rPr>
              <w:t>Exercise the role request workflow on local accounts. Needs no Keycloak.</w:t>
            </w:r>
          </w:p>
        </w:tc>
        <w:tc>
          <w:tcPr>
            <w:tcW w:type="dxa" w:w="3402"/>
          </w:tcPr>
          <w:p>
            <w:pPr>
              <w:spacing w:after="40" w:before="40"/>
            </w:pPr>
            <w:r/>
            <w:r>
              <w:rPr>
                <w:sz w:val="19"/>
              </w:rPr>
              <w:t>auth.role_requests.enabled false</w:t>
            </w:r>
          </w:p>
        </w:tc>
      </w:tr>
      <w:tr>
        <w:tc>
          <w:tcPr>
            <w:tcW w:type="dxa" w:w="850"/>
          </w:tcPr>
          <w:p>
            <w:pPr>
              <w:spacing w:after="40" w:before="40"/>
            </w:pPr>
            <w:r/>
            <w:r>
              <w:rPr>
                <w:sz w:val="19"/>
              </w:rPr>
              <w:t>3</w:t>
            </w:r>
          </w:p>
        </w:tc>
        <w:tc>
          <w:tcPr>
            <w:tcW w:type="dxa" w:w="5046"/>
          </w:tcPr>
          <w:p>
            <w:pPr>
              <w:spacing w:after="40" w:before="40"/>
            </w:pPr>
            <w:r/>
            <w:r>
              <w:rPr>
                <w:sz w:val="19"/>
              </w:rPr>
              <w:t>Create ata-web and the theme. Put nginx and TLS in front.</w:t>
            </w:r>
          </w:p>
        </w:tc>
        <w:tc>
          <w:tcPr>
            <w:tcW w:type="dxa" w:w="3402"/>
          </w:tcPr>
          <w:p>
            <w:pPr>
              <w:spacing w:after="40" w:before="40"/>
            </w:pPr>
            <w:r/>
            <w:r>
              <w:rPr>
                <w:sz w:val="19"/>
              </w:rPr>
              <w:t>Delete the client</w:t>
            </w:r>
          </w:p>
        </w:tc>
      </w:tr>
      <w:tr>
        <w:tc>
          <w:tcPr>
            <w:tcW w:type="dxa" w:w="850"/>
          </w:tcPr>
          <w:p>
            <w:pPr>
              <w:spacing w:after="40" w:before="40"/>
            </w:pPr>
            <w:r/>
            <w:r>
              <w:rPr>
                <w:sz w:val="19"/>
              </w:rPr>
              <w:t>4</w:t>
            </w:r>
          </w:p>
        </w:tc>
        <w:tc>
          <w:tcPr>
            <w:tcW w:type="dxa" w:w="5046"/>
          </w:tcPr>
          <w:p>
            <w:pPr>
              <w:spacing w:after="40" w:before="40"/>
            </w:pPr>
            <w:r/>
            <w:r>
              <w:rPr>
                <w:sz w:val="19"/>
              </w:rPr>
              <w:t>auth.mode "both". You alone sign in via SSO and verify.</w:t>
            </w:r>
          </w:p>
        </w:tc>
        <w:tc>
          <w:tcPr>
            <w:tcW w:type="dxa" w:w="3402"/>
          </w:tcPr>
          <w:p>
            <w:pPr>
              <w:spacing w:after="40" w:before="40"/>
            </w:pPr>
            <w:r/>
            <w:r>
              <w:rPr>
                <w:sz w:val="19"/>
              </w:rPr>
              <w:t>auth.mode "local"</w:t>
            </w:r>
          </w:p>
        </w:tc>
      </w:tr>
      <w:tr>
        <w:tc>
          <w:tcPr>
            <w:tcW w:type="dxa" w:w="850"/>
          </w:tcPr>
          <w:p>
            <w:pPr>
              <w:spacing w:after="40" w:before="40"/>
            </w:pPr>
            <w:r/>
            <w:r>
              <w:rPr>
                <w:sz w:val="19"/>
              </w:rPr>
              <w:t>5</w:t>
            </w:r>
          </w:p>
        </w:tc>
        <w:tc>
          <w:tcPr>
            <w:tcW w:type="dxa" w:w="5046"/>
          </w:tcPr>
          <w:p>
            <w:pPr>
              <w:spacing w:after="40" w:before="40"/>
            </w:pPr>
            <w:r/>
            <w:r>
              <w:rPr>
                <w:sz w:val="19"/>
              </w:rPr>
              <w:t>Two or three leads pilot SSO; their local accounts stay.</w:t>
            </w:r>
          </w:p>
        </w:tc>
        <w:tc>
          <w:tcPr>
            <w:tcW w:type="dxa" w:w="3402"/>
          </w:tcPr>
          <w:p>
            <w:pPr>
              <w:spacing w:after="40" w:before="40"/>
            </w:pPr>
            <w:r/>
            <w:r>
              <w:rPr>
                <w:sz w:val="19"/>
              </w:rPr>
              <w:t>They use the password form</w:t>
            </w:r>
          </w:p>
        </w:tc>
      </w:tr>
      <w:tr>
        <w:tc>
          <w:tcPr>
            <w:tcW w:type="dxa" w:w="850"/>
          </w:tcPr>
          <w:p>
            <w:pPr>
              <w:spacing w:after="40" w:before="40"/>
            </w:pPr>
            <w:r/>
            <w:r>
              <w:rPr>
                <w:sz w:val="19"/>
              </w:rPr>
              <w:t>6</w:t>
            </w:r>
          </w:p>
        </w:tc>
        <w:tc>
          <w:tcPr>
            <w:tcW w:type="dxa" w:w="5046"/>
          </w:tcPr>
          <w:p>
            <w:pPr>
              <w:spacing w:after="40" w:before="40"/>
            </w:pPr>
            <w:r/>
            <w:r>
              <w:rPr>
                <w:sz w:val="19"/>
              </w:rPr>
              <w:t>auth.local_login.allow_roles ["ADMIN"]. Null out non-admin hashes.</w:t>
            </w:r>
          </w:p>
        </w:tc>
        <w:tc>
          <w:tcPr>
            <w:tcW w:type="dxa" w:w="3402"/>
          </w:tcPr>
          <w:p>
            <w:pPr>
              <w:spacing w:after="40" w:before="40"/>
            </w:pPr>
            <w:r/>
            <w:r>
              <w:rPr>
                <w:sz w:val="19"/>
              </w:rPr>
              <w:t>Re-enable local login</w:t>
            </w:r>
          </w:p>
        </w:tc>
      </w:tr>
      <w:tr>
        <w:tc>
          <w:tcPr>
            <w:tcW w:type="dxa" w:w="850"/>
          </w:tcPr>
          <w:p>
            <w:pPr>
              <w:spacing w:after="40" w:before="40"/>
            </w:pPr>
            <w:r/>
            <w:r>
              <w:rPr>
                <w:sz w:val="19"/>
              </w:rPr>
              <w:t>7</w:t>
            </w:r>
          </w:p>
        </w:tc>
        <w:tc>
          <w:tcPr>
            <w:tcW w:type="dxa" w:w="5046"/>
          </w:tcPr>
          <w:p>
            <w:pPr>
              <w:spacing w:after="40" w:before="40"/>
            </w:pPr>
            <w:r/>
            <w:r>
              <w:rPr>
                <w:sz w:val="19"/>
              </w:rPr>
              <w:t>auth.mode "oidc", reconcile enabled.</w:t>
            </w:r>
          </w:p>
        </w:tc>
        <w:tc>
          <w:tcPr>
            <w:tcW w:type="dxa" w:w="3402"/>
          </w:tcPr>
          <w:p>
            <w:pPr>
              <w:spacing w:after="40" w:before="40"/>
            </w:pPr>
            <w:r/>
            <w:r>
              <w:rPr>
                <w:sz w:val="19"/>
              </w:rPr>
              <w:t>Config flip and restart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Run phases 4 and 5 with shadow_mode on.  </w:t>
      </w:r>
      <w:r>
        <w:rPr>
          <w:color w:val="52514E"/>
          <w:sz w:val="20"/>
        </w:rPr>
        <w:t>You will be creating, deactivating and re-activating accounts, and leads_for() reads that table directly — one mistake becomes real mail to a real distribution list. runtime.shadow_mode_exempt keeps the access-request notifications flowing while the bulk digests stay suppressed, so the workflow is still testable.</w:t>
      </w:r>
    </w:p>
    <w:p>
      <w:pPr>
        <w:pStyle w:val="Heading3"/>
      </w:pPr>
      <w:r>
        <w:t>Keep one local administrator</w:t>
      </w:r>
    </w:p>
    <w:p>
      <w:r>
        <w:rPr>
          <w:b w:val="0"/>
          <w:i w:val="0"/>
          <w:sz w:val="21"/>
        </w:rPr>
        <w:t>If Keycloak is unreachable the service keeps running — the scheduler is in-process, the stream tier keeps firing every ten minutes and risk alerts keep going out — but without a local account nobody can sign in to snooze a ticket or stop a digest. The automation stays live while the controls go dark. auth.local_login.allow_roles ["ADMIN"] restricts the password form to that one account; its use is logged at WARNING. It is a password that bypasses SSO and it will be raised in any review — the alternative is being unable to intervene during an outage.</w:t>
      </w:r>
    </w:p>
    <w:p>
      <w:pPr>
        <w:pStyle w:val="Heading2"/>
      </w:pPr>
      <w:r>
        <w:t>22A.8 Verification</w:t>
      </w:r>
    </w:p>
    <w:p>
      <w:pPr>
        <w:spacing w:after="0" w:before="120" w:line="240" w:lineRule="auto"/>
        <w:ind w:left="170"/>
        <w:shd w:val="clear" w:color="auto" w:fill="F4F4F1"/>
      </w:pPr>
      <w:r>
        <w:rPr>
          <w:rFonts w:ascii="Consolas" w:hAnsi="Consolas"/>
          <w:color w:val="0B0B0B"/>
          <w:sz w:val="17"/>
        </w:rPr>
        <w:t>python3 run.py doctor      # oidc issuer, oidc redirect, keycloak admin,</w:t>
      </w:r>
    </w:p>
    <w:p>
      <w:pPr>
        <w:spacing w:after="0" w:before="0" w:line="240" w:lineRule="auto"/>
        <w:ind w:left="170"/>
        <w:shd w:val="clear" w:color="auto" w:fill="F4F4F1"/>
      </w:pPr>
      <w:r>
        <w:rPr>
          <w:rFonts w:ascii="Consolas" w:hAnsi="Consolas"/>
          <w:color w:val="0B0B0B"/>
          <w:sz w:val="17"/>
        </w:rPr>
        <w:t xml:space="preserve">                           # admin floor, access requests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Then, in a browser:</w:t>
      </w:r>
    </w:p>
    <w:p>
      <w:pPr>
        <w:spacing w:after="0" w:before="0" w:line="240" w:lineRule="auto"/>
        <w:ind w:left="170"/>
        <w:shd w:val="clear" w:color="auto" w:fill="F4F4F1"/>
      </w:pPr>
      <w:r>
        <w:rPr>
          <w:rFonts w:ascii="Consolas" w:hAnsi="Consolas"/>
          <w:color w:val="0B0B0B"/>
          <w:sz w:val="17"/>
        </w:rPr>
        <w:t>#  1. /login shows the SSO button</w:t>
      </w:r>
    </w:p>
    <w:p>
      <w:pPr>
        <w:spacing w:after="0" w:before="0" w:line="240" w:lineRule="auto"/>
        <w:ind w:left="170"/>
        <w:shd w:val="clear" w:color="auto" w:fill="F4F4F1"/>
      </w:pPr>
      <w:r>
        <w:rPr>
          <w:rFonts w:ascii="Consolas" w:hAnsi="Consolas"/>
          <w:color w:val="0B0B0B"/>
          <w:sz w:val="17"/>
        </w:rPr>
        <w:t>#  2. Sign in -&gt; lands on /board as VIEWER with the no-scope banner</w:t>
      </w:r>
    </w:p>
    <w:p>
      <w:pPr>
        <w:spacing w:after="0" w:before="0" w:line="240" w:lineRule="auto"/>
        <w:ind w:left="170"/>
        <w:shd w:val="clear" w:color="auto" w:fill="F4F4F1"/>
      </w:pPr>
      <w:r>
        <w:rPr>
          <w:rFonts w:ascii="Consolas" w:hAnsi="Consolas"/>
          <w:color w:val="0B0B0B"/>
          <w:sz w:val="17"/>
        </w:rPr>
        <w:t>#  3. /profile -&gt; request Lead access -&gt; the admin badge appears</w:t>
      </w:r>
    </w:p>
    <w:p>
      <w:pPr>
        <w:spacing w:after="0" w:before="0" w:line="240" w:lineRule="auto"/>
        <w:ind w:left="170"/>
        <w:shd w:val="clear" w:color="auto" w:fill="F4F4F1"/>
      </w:pPr>
      <w:r>
        <w:rPr>
          <w:rFonts w:ascii="Consolas" w:hAnsi="Consolas"/>
          <w:color w:val="0B0B0B"/>
          <w:sz w:val="17"/>
        </w:rPr>
        <w:t>#  4. Approve from a second account -&gt; the role applies without re-login</w:t>
      </w:r>
    </w:p>
    <w:p>
      <w:pPr>
        <w:spacing w:after="0" w:before="0" w:line="240" w:lineRule="auto"/>
        <w:ind w:left="170"/>
        <w:shd w:val="clear" w:color="auto" w:fill="F4F4F1"/>
      </w:pPr>
      <w:r>
        <w:rPr>
          <w:rFonts w:ascii="Consolas" w:hAnsi="Consolas"/>
          <w:color w:val="0B0B0B"/>
          <w:sz w:val="17"/>
        </w:rPr>
        <w:t>#  5. Sign out -&gt; signing in again PROMPTS. If it does not, the Keycloak</w:t>
      </w:r>
    </w:p>
    <w:p>
      <w:pPr>
        <w:spacing w:after="0" w:before="0" w:line="240" w:lineRule="auto"/>
        <w:ind w:left="170"/>
        <w:shd w:val="clear" w:color="auto" w:fill="F4F4F1"/>
      </w:pPr>
      <w:r>
        <w:rPr>
          <w:rFonts w:ascii="Consolas" w:hAnsi="Consolas"/>
          <w:color w:val="0B0B0B"/>
          <w:sz w:val="17"/>
        </w:rPr>
        <w:t>#     session outlived the local one and end_session_endpoint is not working.</w:t>
      </w:r>
    </w:p>
    <w:p>
      <w:pPr>
        <w:spacing w:after="120" w:before="0"/>
      </w:pPr>
    </w:p>
    <w:p>
      <w:pPr>
        <w:pStyle w:val="Heading2"/>
      </w:pPr>
      <w:r>
        <w:t>22A.9 Troubleshooting</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Symptom</w:t>
            </w:r>
          </w:p>
        </w:tc>
        <w:tc>
          <w:tcPr>
            <w:tcW w:type="dxa" w:w="2948"/>
            <w:shd w:val="clear" w:color="auto" w:fill="E8E8E3"/>
          </w:tcPr>
          <w:p>
            <w:pPr>
              <w:spacing w:after="40" w:before="40"/>
            </w:pPr>
            <w:r/>
            <w:r>
              <w:rPr>
                <w:b/>
                <w:sz w:val="19"/>
              </w:rPr>
              <w:t>Cause</w:t>
            </w:r>
          </w:p>
        </w:tc>
        <w:tc>
          <w:tcPr>
            <w:tcW w:type="dxa" w:w="3742"/>
            <w:shd w:val="clear" w:color="auto" w:fill="E8E8E3"/>
          </w:tcPr>
          <w:p>
            <w:pPr>
              <w:spacing w:after="40" w:before="40"/>
            </w:pPr>
            <w:r/>
            <w:r>
              <w:rPr>
                <w:b/>
                <w:sz w:val="19"/>
              </w:rPr>
              <w:t>Fix</w:t>
            </w:r>
          </w:p>
        </w:tc>
      </w:tr>
      <w:tr>
        <w:tc>
          <w:tcPr>
            <w:tcW w:type="dxa" w:w="2608"/>
          </w:tcPr>
          <w:p>
            <w:pPr>
              <w:spacing w:after="40" w:before="40"/>
            </w:pPr>
            <w:r/>
            <w:r>
              <w:rPr>
                <w:sz w:val="19"/>
              </w:rPr>
              <w:t>invalid_redirect_uri</w:t>
            </w:r>
          </w:p>
        </w:tc>
        <w:tc>
          <w:tcPr>
            <w:tcW w:type="dxa" w:w="2948"/>
          </w:tcPr>
          <w:p>
            <w:pPr>
              <w:spacing w:after="40" w:before="40"/>
            </w:pPr>
            <w:r/>
            <w:r>
              <w:rPr>
                <w:sz w:val="19"/>
              </w:rPr>
              <w:t>Keycloak matches exactly; nginx changed the host or scheme</w:t>
            </w:r>
          </w:p>
        </w:tc>
        <w:tc>
          <w:tcPr>
            <w:tcW w:type="dxa" w:w="3742"/>
          </w:tcPr>
          <w:p>
            <w:pPr>
              <w:spacing w:after="40" w:before="40"/>
            </w:pPr>
            <w:r/>
            <w:r>
              <w:rPr>
                <w:sz w:val="19"/>
              </w:rPr>
              <w:t>Make the client's redirect URI identical to auth.oidc.redirect_uri</w:t>
            </w:r>
          </w:p>
        </w:tc>
      </w:tr>
      <w:tr>
        <w:tc>
          <w:tcPr>
            <w:tcW w:type="dxa" w:w="2608"/>
          </w:tcPr>
          <w:p>
            <w:pPr>
              <w:spacing w:after="40" w:before="40"/>
            </w:pPr>
            <w:r/>
            <w:r>
              <w:rPr>
                <w:sz w:val="19"/>
              </w:rPr>
              <w:t>CERTIFICATE_VERIFY_FAILED on the token exchange</w:t>
            </w:r>
          </w:p>
        </w:tc>
        <w:tc>
          <w:tcPr>
            <w:tcW w:type="dxa" w:w="2948"/>
          </w:tcPr>
          <w:p>
            <w:pPr>
              <w:spacing w:after="40" w:before="40"/>
            </w:pPr>
            <w:r/>
            <w:r>
              <w:rPr>
                <w:sz w:val="19"/>
              </w:rPr>
              <w:t>Internal CA not trusted</w:t>
            </w:r>
          </w:p>
        </w:tc>
        <w:tc>
          <w:tcPr>
            <w:tcW w:type="dxa" w:w="3742"/>
          </w:tcPr>
          <w:p>
            <w:pPr>
              <w:spacing w:after="40" w:before="40"/>
            </w:pPr>
            <w:r/>
            <w:r>
              <w:rPr>
                <w:sz w:val="19"/>
              </w:rPr>
              <w:t>Add it to auth.oidc.ca_bundle — never disable verification</w:t>
            </w:r>
          </w:p>
        </w:tc>
      </w:tr>
      <w:tr>
        <w:tc>
          <w:tcPr>
            <w:tcW w:type="dxa" w:w="2608"/>
          </w:tcPr>
          <w:p>
            <w:pPr>
              <w:spacing w:after="40" w:before="40"/>
            </w:pPr>
            <w:r/>
            <w:r>
              <w:rPr>
                <w:sz w:val="19"/>
              </w:rPr>
              <w:t>"Sign-in could not be completed"</w:t>
            </w:r>
          </w:p>
        </w:tc>
        <w:tc>
          <w:tcPr>
            <w:tcW w:type="dxa" w:w="2948"/>
          </w:tcPr>
          <w:p>
            <w:pPr>
              <w:spacing w:after="40" w:before="40"/>
            </w:pPr>
            <w:r/>
            <w:r>
              <w:rPr>
                <w:sz w:val="19"/>
              </w:rPr>
              <w:t>State, nonce, audience or signature check failed</w:t>
            </w:r>
          </w:p>
        </w:tc>
        <w:tc>
          <w:tcPr>
            <w:tcW w:type="dxa" w:w="3742"/>
          </w:tcPr>
          <w:p>
            <w:pPr>
              <w:spacing w:after="40" w:before="40"/>
            </w:pPr>
            <w:r/>
            <w:r>
              <w:rPr>
                <w:sz w:val="19"/>
              </w:rPr>
              <w:t>logs/advisor.log names which one; each is a deliberate refusal</w:t>
            </w:r>
          </w:p>
        </w:tc>
      </w:tr>
      <w:tr>
        <w:tc>
          <w:tcPr>
            <w:tcW w:type="dxa" w:w="2608"/>
          </w:tcPr>
          <w:p>
            <w:pPr>
              <w:spacing w:after="40" w:before="40"/>
            </w:pPr>
            <w:r/>
            <w:r>
              <w:rPr>
                <w:sz w:val="19"/>
              </w:rPr>
              <w:t>Signing in again never prompts</w:t>
            </w:r>
          </w:p>
        </w:tc>
        <w:tc>
          <w:tcPr>
            <w:tcW w:type="dxa" w:w="2948"/>
          </w:tcPr>
          <w:p>
            <w:pPr>
              <w:spacing w:after="40" w:before="40"/>
            </w:pPr>
            <w:r/>
            <w:r>
              <w:rPr>
                <w:sz w:val="19"/>
              </w:rPr>
              <w:t>Keycloak session outlived the local one</w:t>
            </w:r>
          </w:p>
        </w:tc>
        <w:tc>
          <w:tcPr>
            <w:tcW w:type="dxa" w:w="3742"/>
          </w:tcPr>
          <w:p>
            <w:pPr>
              <w:spacing w:after="40" w:before="40"/>
            </w:pPr>
            <w:r/>
            <w:r>
              <w:rPr>
                <w:sz w:val="19"/>
              </w:rPr>
              <w:t>The issuer must advertise end_session_endpoint; doctor reports if it does not</w:t>
            </w:r>
          </w:p>
        </w:tc>
      </w:tr>
      <w:tr>
        <w:tc>
          <w:tcPr>
            <w:tcW w:type="dxa" w:w="2608"/>
          </w:tcPr>
          <w:p>
            <w:pPr>
              <w:spacing w:after="40" w:before="40"/>
            </w:pPr>
            <w:r/>
            <w:r>
              <w:rPr>
                <w:sz w:val="19"/>
              </w:rPr>
              <w:t>Everyone lands on "Access not provisioned"</w:t>
            </w:r>
          </w:p>
        </w:tc>
        <w:tc>
          <w:tcPr>
            <w:tcW w:type="dxa" w:w="2948"/>
          </w:tcPr>
          <w:p>
            <w:pPr>
              <w:spacing w:after="40" w:before="40"/>
            </w:pPr>
            <w:r/>
            <w:r>
              <w:rPr>
                <w:sz w:val="19"/>
              </w:rPr>
              <w:t>jit_provisioning is false</w:t>
            </w:r>
          </w:p>
        </w:tc>
        <w:tc>
          <w:tcPr>
            <w:tcW w:type="dxa" w:w="3742"/>
          </w:tcPr>
          <w:p>
            <w:pPr>
              <w:spacing w:after="40" w:before="40"/>
            </w:pPr>
            <w:r/>
            <w:r>
              <w:rPr>
                <w:sz w:val="19"/>
              </w:rPr>
              <w:t>Enable it, or create the accounts with run.py adduser</w:t>
            </w:r>
          </w:p>
        </w:tc>
      </w:tr>
      <w:tr>
        <w:tc>
          <w:tcPr>
            <w:tcW w:type="dxa" w:w="2608"/>
          </w:tcPr>
          <w:p>
            <w:pPr>
              <w:spacing w:after="40" w:before="40"/>
            </w:pPr>
            <w:r/>
            <w:r>
              <w:rPr>
                <w:sz w:val="19"/>
              </w:rPr>
              <w:t>Access requests pile up undecided</w:t>
            </w:r>
          </w:p>
        </w:tc>
        <w:tc>
          <w:tcPr>
            <w:tcW w:type="dxa" w:w="2948"/>
          </w:tcPr>
          <w:p>
            <w:pPr>
              <w:spacing w:after="40" w:before="40"/>
            </w:pPr>
            <w:r/>
            <w:r>
              <w:rPr>
                <w:sz w:val="19"/>
              </w:rPr>
              <w:t>Notification suppressed or no admin address</w:t>
            </w:r>
          </w:p>
        </w:tc>
        <w:tc>
          <w:tcPr>
            <w:tcW w:type="dxa" w:w="3742"/>
          </w:tcPr>
          <w:p>
            <w:pPr>
              <w:spacing w:after="40" w:before="40"/>
            </w:pPr>
            <w:r/>
            <w:r>
              <w:rPr>
                <w:sz w:val="19"/>
              </w:rPr>
              <w:t>Check runtime.shadow_mode_exempt includes role_request, and that an active ADMIN has an email. doctor fails this after 7 days.</w:t>
            </w:r>
          </w:p>
        </w:tc>
      </w:tr>
      <w:tr>
        <w:tc>
          <w:tcPr>
            <w:tcW w:type="dxa" w:w="2608"/>
          </w:tcPr>
          <w:p>
            <w:pPr>
              <w:spacing w:after="40" w:before="40"/>
            </w:pPr>
            <w:r/>
            <w:r>
              <w:rPr>
                <w:sz w:val="19"/>
              </w:rPr>
              <w:t>sync-users exits 2</w:t>
            </w:r>
          </w:p>
        </w:tc>
        <w:tc>
          <w:tcPr>
            <w:tcW w:type="dxa" w:w="2948"/>
          </w:tcPr>
          <w:p>
            <w:pPr>
              <w:spacing w:after="40" w:before="40"/>
            </w:pPr>
            <w:r/>
            <w:r>
              <w:rPr>
                <w:sz w:val="19"/>
              </w:rPr>
              <w:t>The proportional ceiling tripped — nothing was changed</w:t>
            </w:r>
          </w:p>
        </w:tc>
        <w:tc>
          <w:tcPr>
            <w:tcW w:type="dxa" w:w="3742"/>
          </w:tcPr>
          <w:p>
            <w:pPr>
              <w:spacing w:after="40" w:before="40"/>
            </w:pPr>
            <w:r/>
            <w:r>
              <w:rPr>
                <w:sz w:val="19"/>
              </w:rPr>
              <w:t>Check the service-account secret and the realm name before rerunning</w:t>
            </w:r>
          </w:p>
        </w:tc>
      </w:tr>
    </w:tbl>
    <w:p>
      <w:pPr>
        <w:spacing w:after="8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thresholds.inactivity_days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thresholds.prolonged_inactivity_days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thresholds.sla_risk_pct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thresholds.closure_followup_count</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