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the Service Desk</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24 September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w:t>
      </w:r>
    </w:p>
    <w:p>
      <w:pPr>
        <w:spacing w:after="0" w:before="0" w:line="240" w:lineRule="auto"/>
        <w:ind w:left="170"/>
        <w:shd w:val="clear" w:color="auto" w:fill="F4F4F1"/>
      </w:pPr>
      <w:r>
        <w:rPr>
          <w:rFonts w:ascii="Consolas" w:hAnsi="Consolas"/>
          <w:color w:val="0B0B0B"/>
          <w:sz w:val="17"/>
        </w:rPr>
        <w:t xml:space="preserve">    daily lead digest · per-agent digest · risk alerts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Service Desk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 Treat </w:t>
      </w:r>
      <w:r>
        <w:rPr>
          <w:rFonts w:ascii="Consolas" w:hAnsi="Consolas"/>
          <w:b w:val="0"/>
          <w:i w:val="0"/>
          <w:sz w:val="19"/>
          <w:shd w:val="clear" w:color="auto" w:fill="F4F4F1"/>
        </w:rPr>
        <w:t>vault_url</w:t>
      </w:r>
      <w:r>
        <w:rPr>
          <w:b w:val="0"/>
          <w:i w:val="0"/>
          <w:sz w:val="21"/>
        </w:rPr>
        <w:t xml:space="preserve"> with care; see below.</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copy the audit tool's vault_url as-is.  </w:t>
      </w:r>
      <w:r>
        <w:rPr>
          <w:color w:val="52514E"/>
          <w:sz w:val="20"/>
        </w:rPr>
        <w:t>It reads https://127.0.0.1:8200, which works there only because that tool passes verify=False and skips certificate checking altogether. The advisor verifies TLS, so the URL must use a name the Vault certificate is actually issued for. An IP that is not listed in the certificate's SANs fails at startup with "certificate verify failed: IP address mismatch".</w:t>
      </w:r>
    </w:p>
    <w:p>
      <w:r>
        <w:rPr>
          <w:b w:val="0"/>
          <w:i w:val="0"/>
          <w:sz w:val="21"/>
        </w:rPr>
        <w:t>Confirm which names the certificate covers:</w:t>
      </w:r>
    </w:p>
    <w:p>
      <w:pPr>
        <w:spacing w:after="0" w:before="120" w:line="240" w:lineRule="auto"/>
        <w:ind w:left="170"/>
        <w:shd w:val="clear" w:color="auto" w:fill="F4F4F1"/>
      </w:pPr>
      <w:r>
        <w:rPr>
          <w:rFonts w:ascii="Consolas" w:hAnsi="Consolas"/>
          <w:color w:val="0B0B0B"/>
          <w:sz w:val="17"/>
        </w:rPr>
        <w:t># What Vault actually serves</w:t>
      </w:r>
    </w:p>
    <w:p>
      <w:pPr>
        <w:spacing w:after="0" w:before="0" w:line="240" w:lineRule="auto"/>
        <w:ind w:left="170"/>
        <w:shd w:val="clear" w:color="auto" w:fill="F4F4F1"/>
      </w:pPr>
      <w:r>
        <w:rPr>
          <w:rFonts w:ascii="Consolas" w:hAnsi="Consolas"/>
          <w:color w:val="0B0B0B"/>
          <w:sz w:val="17"/>
        </w:rPr>
        <w:t>echo | openssl s_client -connect 127.0.0.1:8200 2&gt;/dev/null \</w:t>
      </w:r>
    </w:p>
    <w:p>
      <w:pPr>
        <w:spacing w:after="0" w:before="0" w:line="240" w:lineRule="auto"/>
        <w:ind w:left="170"/>
        <w:shd w:val="clear" w:color="auto" w:fill="F4F4F1"/>
      </w:pPr>
      <w:r>
        <w:rPr>
          <w:rFonts w:ascii="Consolas" w:hAnsi="Consolas"/>
          <w:color w:val="0B0B0B"/>
          <w:sz w:val="17"/>
        </w:rPr>
        <w:t xml:space="preserve">  | openssl x509 -noout -subject -ext subjectAltName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Or inspect the certificate file directly</w:t>
      </w:r>
    </w:p>
    <w:p>
      <w:pPr>
        <w:spacing w:after="0" w:before="0" w:line="240" w:lineRule="auto"/>
        <w:ind w:left="170"/>
        <w:shd w:val="clear" w:color="auto" w:fill="F4F4F1"/>
      </w:pPr>
      <w:r>
        <w:rPr>
          <w:rFonts w:ascii="Consolas" w:hAnsi="Consolas"/>
          <w:color w:val="0B0B0B"/>
          <w:sz w:val="17"/>
        </w:rPr>
        <w:t>openssl x509 -in /opt/vault/tls/tls.crt -noout -subject -ext subjectAltName</w:t>
      </w:r>
    </w:p>
    <w:p>
      <w:pPr>
        <w:spacing w:after="120" w:before="0"/>
      </w:pPr>
    </w:p>
    <w:p>
      <w:r>
        <w:rPr>
          <w:b w:val="0"/>
          <w:i w:val="0"/>
          <w:sz w:val="21"/>
        </w:rPr>
        <w:t>Use one of the names listed in the output as vault.url. On this estate that is kohlerco.com, which is also what the existing startup_services.sh sets VAULT_ADDR to.</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3"/>
      </w:pPr>
      <w:r>
        <w:t>3.2.1 Confirm the assignment group names before you go further</w:t>
      </w:r>
    </w:p>
    <w:p>
      <w:r>
        <w:rPr>
          <w:b w:val="0"/>
          <w:i w:val="0"/>
          <w:sz w:val="21"/>
        </w:rPr>
        <w:t>This single setting decides what the whole service can see, and getting it wrong costs more time than anything else in this guide. The names must match sys_user_group.name character for character — "Service Desk" will not find "IT Service Desk", and the failure is silent.</w:t>
      </w:r>
    </w:p>
    <w:p>
      <w:pPr>
        <w:spacing w:after="40" w:before="160"/>
        <w:keepNext/>
      </w:pPr>
      <w:r>
        <w:rPr>
          <w:b/>
          <w:color w:val="52514E"/>
          <w:sz w:val="19"/>
        </w:rPr>
        <w:t>Lists matching groups with their open and 30-day-resolved volumes</w:t>
      </w:r>
    </w:p>
    <w:p>
      <w:pPr>
        <w:spacing w:after="0" w:before="120" w:line="240" w:lineRule="auto"/>
        <w:ind w:left="170"/>
        <w:shd w:val="clear" w:color="auto" w:fill="F4F4F1"/>
      </w:pPr>
      <w:r>
        <w:rPr>
          <w:rFonts w:ascii="Consolas" w:hAnsi="Consolas"/>
          <w:color w:val="0B0B0B"/>
          <w:sz w:val="17"/>
        </w:rPr>
        <w:t xml:space="preserve">python ops/find_groups.py "Service Desk" </w:t>
      </w:r>
    </w:p>
    <w:p>
      <w:pPr>
        <w:spacing w:after="120" w:before="0"/>
      </w:pPr>
    </w:p>
    <w:p>
      <w:r>
        <w:rPr>
          <w:b w:val="0"/>
          <w:i w:val="0"/>
          <w:sz w:val="21"/>
        </w:rPr>
        <w:t>Paste the names it prints into servicenow.assignment_groups exactly as shown, then verify with:</w:t>
      </w:r>
    </w:p>
    <w:p>
      <w:pPr>
        <w:spacing w:after="0" w:before="120" w:line="240" w:lineRule="auto"/>
        <w:ind w:left="170"/>
        <w:shd w:val="clear" w:color="auto" w:fill="F4F4F1"/>
      </w:pPr>
      <w:r>
        <w:rPr>
          <w:rFonts w:ascii="Consolas" w:hAnsi="Consolas"/>
          <w:color w:val="0B0B0B"/>
          <w:sz w:val="17"/>
        </w:rPr>
        <w:t xml:space="preserve">python run.py doctor | grep "snow groups"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shorten or tidy the names.  </w:t>
      </w:r>
      <w:r>
        <w:rPr>
          <w:color w:val="52514E"/>
          <w:sz w:val="20"/>
        </w:rPr>
        <w:t>The advisor scopes queries with assignment_group.nameIN&lt;names&gt;. Because assignment_group stores a sys_id rather than text, the dot-walk to .name is what makes a human-readable name work at all — and it is an exact comparison. A name that does not exist contributes nothing and produces no warning from ServiceNow.</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Service Desk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 and exits with status 2 so it can gate a deployment pipeline.</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VAULT_ADDR='https://kohlerco.com:8200'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(https://kohlerco.com:8200,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history timestamps in UTC but attachment timestamps in the integration user's display timezone. The advisor detects the offset automatically on first use by comparing the same field with and without display values, and caches it. Setting the integration user to UTC makes the offset zero and removes a class of subtle date errors entirely — recommended but not required.</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Digest recipients are not configured in conf.json. Leads are whoever holds an active ADMIN or LEAD account in the advisor_user table with an email address set — created in Section 13. A lead whose assignment_groups field is blank receives all groups; otherwise they receive only digests covering their listed groups.</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"stagnation_days": 2,</w:t>
      </w:r>
    </w:p>
    <w:p>
      <w:pPr>
        <w:spacing w:after="0" w:before="0" w:line="240" w:lineRule="auto"/>
        <w:ind w:left="170"/>
        <w:shd w:val="clear" w:color="auto" w:fill="F4F4F1"/>
      </w:pPr>
      <w:r>
        <w:rPr>
          <w:rFonts w:ascii="Consolas" w:hAnsi="Consolas"/>
          <w:color w:val="0B0B0B"/>
          <w:sz w:val="17"/>
        </w:rPr>
        <w:t xml:space="preserve">        "critical_stagnation_days": 4,</w:t>
      </w:r>
    </w:p>
    <w:p>
      <w:pPr>
        <w:spacing w:after="0" w:before="0" w:line="240" w:lineRule="auto"/>
        <w:ind w:left="170"/>
        <w:shd w:val="clear" w:color="auto" w:fill="F4F4F1"/>
      </w:pPr>
      <w:r>
        <w:rPr>
          <w:rFonts w:ascii="Consolas" w:hAnsi="Consolas"/>
          <w:color w:val="0B0B0B"/>
          <w:sz w:val="17"/>
        </w:rPr>
        <w:t xml:space="preserve">        "sla_jeopardy_pct": 75,</w:t>
      </w:r>
    </w:p>
    <w:p>
      <w:pPr>
        <w:spacing w:after="0" w:before="0" w:line="240" w:lineRule="auto"/>
        <w:ind w:left="170"/>
        <w:shd w:val="clear" w:color="auto" w:fill="F4F4F1"/>
      </w:pPr>
      <w:r>
        <w:rPr>
          <w:rFonts w:ascii="Consolas" w:hAnsi="Consolas"/>
          <w:color w:val="0B0B0B"/>
          <w:sz w:val="17"/>
        </w:rPr>
        <w:t xml:space="preserve">        "auto_close_followups": 3,</w:t>
      </w:r>
    </w:p>
    <w:p>
      <w:pPr>
        <w:spacing w:after="0" w:before="0" w:line="240" w:lineRule="auto"/>
        <w:ind w:left="170"/>
        <w:shd w:val="clear" w:color="auto" w:fill="F4F4F1"/>
      </w:pPr>
      <w:r>
        <w:rPr>
          <w:rFonts w:ascii="Consolas" w:hAnsi="Consolas"/>
          <w:color w:val="0B0B0B"/>
          <w:sz w:val="17"/>
        </w:rPr>
        <w:t xml:space="preserve">        "auto_close_silence_days":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stagnation_days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critical_stagnation_days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stagnation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sla_jeopardy_pct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auto_close_followups</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auto_close_silence_days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["Service Desk"]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with status 2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About the password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It is a new password that you choose.  </w:t>
      </w:r>
      <w:r>
        <w:rPr>
          <w:color w:val="52514E"/>
          <w:sz w:val="20"/>
        </w:rPr>
        <w:t>These are local application accounts. The password is not your AD or SSO password, not the ServiceNow integration password and not the MySQL password - it is stored only in the advisor's own advisor_user table, as a bcrypt hash, and is used solely to sign in to the board.</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Rule</w:t>
            </w:r>
          </w:p>
        </w:tc>
        <w:tc>
          <w:tcPr>
            <w:tcW w:type="dxa" w:w="7370"/>
            <w:shd w:val="clear" w:color="auto" w:fill="E8E8E3"/>
          </w:tcPr>
          <w:p>
            <w:pPr>
              <w:spacing w:after="40" w:before="40"/>
            </w:pPr>
            <w:r/>
            <w:r>
              <w:rPr>
                <w:b/>
                <w:sz w:val="19"/>
              </w:rPr>
              <w:t>Detail</w:t>
            </w:r>
          </w:p>
        </w:tc>
      </w:tr>
      <w:tr>
        <w:tc>
          <w:tcPr>
            <w:tcW w:type="dxa" w:w="1928"/>
          </w:tcPr>
          <w:p>
            <w:pPr>
              <w:spacing w:after="40" w:before="40"/>
            </w:pPr>
            <w:r/>
            <w:r>
              <w:rPr>
                <w:sz w:val="19"/>
              </w:rPr>
              <w:t>Minimum length</w:t>
            </w:r>
          </w:p>
        </w:tc>
        <w:tc>
          <w:tcPr>
            <w:tcW w:type="dxa" w:w="7370"/>
          </w:tcPr>
          <w:p>
            <w:pPr>
              <w:spacing w:after="40" w:before="40"/>
            </w:pPr>
            <w:r/>
            <w:r>
              <w:rPr>
                <w:sz w:val="19"/>
              </w:rPr>
              <w:t>8 characters</w:t>
            </w:r>
          </w:p>
        </w:tc>
      </w:tr>
      <w:tr>
        <w:tc>
          <w:tcPr>
            <w:tcW w:type="dxa" w:w="1928"/>
          </w:tcPr>
          <w:p>
            <w:pPr>
              <w:spacing w:after="40" w:before="40"/>
            </w:pPr>
            <w:r/>
            <w:r>
              <w:rPr>
                <w:sz w:val="19"/>
              </w:rPr>
              <w:t>Maximum length</w:t>
            </w:r>
          </w:p>
        </w:tc>
        <w:tc>
          <w:tcPr>
            <w:tcW w:type="dxa" w:w="7370"/>
          </w:tcPr>
          <w:p>
            <w:pPr>
              <w:spacing w:after="40" w:before="40"/>
            </w:pPr>
            <w:r/>
            <w:r>
              <w:rPr>
                <w:sz w:val="19"/>
              </w:rPr>
              <w:t>72 bytes — a bcrypt limit. Non-ASCII characters cost more than one byte each, so a 40-character password can exceed it</w:t>
            </w:r>
          </w:p>
        </w:tc>
      </w:tr>
      <w:tr>
        <w:tc>
          <w:tcPr>
            <w:tcW w:type="dxa" w:w="1928"/>
          </w:tcPr>
          <w:p>
            <w:pPr>
              <w:spacing w:after="40" w:before="40"/>
            </w:pPr>
            <w:r/>
            <w:r>
              <w:rPr>
                <w:sz w:val="19"/>
              </w:rPr>
              <w:t>Entry</w:t>
            </w:r>
          </w:p>
        </w:tc>
        <w:tc>
          <w:tcPr>
            <w:tcW w:type="dxa" w:w="7370"/>
          </w:tcPr>
          <w:p>
            <w:pPr>
              <w:spacing w:after="40" w:before="40"/>
            </w:pPr>
            <w:r/>
            <w:r>
              <w:rPr>
                <w:sz w:val="19"/>
              </w:rPr>
              <w:t>Omit --password and it is prompted for twice, without echoing</w:t>
            </w:r>
          </w:p>
        </w:tc>
      </w:tr>
      <w:tr>
        <w:tc>
          <w:tcPr>
            <w:tcW w:type="dxa" w:w="1928"/>
          </w:tcPr>
          <w:p>
            <w:pPr>
              <w:spacing w:after="40" w:before="40"/>
            </w:pPr>
            <w:r/>
            <w:r>
              <w:rPr>
                <w:sz w:val="19"/>
              </w:rPr>
              <w:t>Storage</w:t>
            </w:r>
          </w:p>
        </w:tc>
        <w:tc>
          <w:tcPr>
            <w:tcW w:type="dxa" w:w="7370"/>
          </w:tcPr>
          <w:p>
            <w:pPr>
              <w:spacing w:after="40" w:before="40"/>
            </w:pPr>
            <w:r/>
            <w:r>
              <w:rPr>
                <w:sz w:val="19"/>
              </w:rPr>
              <w:t>bcrypt, standard $2b$ format, unique salt per account</w:t>
            </w:r>
          </w:p>
        </w:tc>
      </w:tr>
      <w:tr>
        <w:tc>
          <w:tcPr>
            <w:tcW w:type="dxa" w:w="1928"/>
          </w:tcPr>
          <w:p>
            <w:pPr>
              <w:spacing w:after="40" w:before="40"/>
            </w:pPr>
            <w:r/>
            <w:r>
              <w:rPr>
                <w:sz w:val="19"/>
              </w:rPr>
              <w:t>Changing it</w:t>
            </w:r>
          </w:p>
        </w:tc>
        <w:tc>
          <w:tcPr>
            <w:tcW w:type="dxa" w:w="7370"/>
          </w:tcPr>
          <w:p>
            <w:pPr>
              <w:spacing w:after="40" w:before="40"/>
            </w:pPr>
            <w:r/>
            <w:r>
              <w:rPr>
                <w:sz w:val="19"/>
              </w:rPr>
              <w:t>python run.py passwd --username &lt;name&gt;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pass --password on the command line in production.  </w:t>
      </w:r>
      <w:r>
        <w:rPr>
          <w:color w:val="52514E"/>
          <w:sz w:val="20"/>
        </w:rPr>
        <w:t>It lands in shell history and is visible in ps output to every user on the box. Let the command prompt for it instead; it asks twice, so a typo cannot silently create an account nobody can log into.</w:t>
      </w:r>
    </w:p>
    <w:p>
      <w:pPr>
        <w:pStyle w:val="Heading2"/>
      </w:pPr>
      <w:r>
        <w:t>13.3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"Service Desk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ball_in_court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(service desk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recommend</w:t>
            </w:r>
          </w:p>
        </w:tc>
        <w:tc>
          <w:tcPr>
            <w:tcW w:type="dxa" w:w="2041"/>
          </w:tcPr>
          <w:p>
            <w:pPr>
              <w:spacing w:after="40" w:before="40"/>
            </w:pPr>
            <w:r/>
            <w:r>
              <w:rPr>
                <w:sz w:val="19"/>
              </w:rPr>
              <w:t>Every 60 minutes</w:t>
            </w:r>
          </w:p>
        </w:tc>
        <w:tc>
          <w:tcPr>
            <w:tcW w:type="dxa" w:w="5443"/>
          </w:tcPr>
          <w:p>
            <w:pPr>
              <w:spacing w:after="40" w:before="40"/>
            </w:pPr>
            <w:r/>
            <w:r>
              <w:rPr>
                <w:sz w:val="19"/>
              </w:rPr>
              <w:t>LLM recommendation pass over changed tickets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lead and agent digests</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(kohlerco.com - must match the TLS certificate)</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ball_in_court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ball_in_court;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ball_in_court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Change a password</w:t>
            </w:r>
          </w:p>
        </w:tc>
        <w:tc>
          <w:tcPr>
            <w:tcW w:type="dxa" w:w="6123"/>
          </w:tcPr>
          <w:p>
            <w:pPr>
              <w:spacing w:after="40" w:before="40"/>
            </w:pPr>
            <w:r/>
            <w:r>
              <w:rPr>
                <w:rFonts w:ascii="Consolas" w:hAnsi="Consolas"/>
                <w:sz w:val="17"/>
              </w:rPr>
              <w:t>python run.py passwd --username x</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certificate verify failed: IP address mismatch</w:t>
            </w:r>
          </w:p>
        </w:tc>
        <w:tc>
          <w:tcPr>
            <w:tcW w:type="dxa" w:w="2494"/>
          </w:tcPr>
          <w:p>
            <w:pPr>
              <w:spacing w:after="40" w:before="40"/>
            </w:pPr>
            <w:r/>
            <w:r>
              <w:rPr>
                <w:sz w:val="19"/>
              </w:rPr>
              <w:t>vault.url uses an IP (or a name) that the Vault TLS certificate does not cover. The trust chain is fine — only the name check failed</w:t>
            </w:r>
          </w:p>
        </w:tc>
        <w:tc>
          <w:tcPr>
            <w:tcW w:type="dxa" w:w="4309"/>
          </w:tcPr>
          <w:p>
            <w:pPr>
              <w:spacing w:after="40" w:before="40"/>
            </w:pPr>
            <w:r/>
            <w:r>
              <w:rPr>
                <w:sz w:val="19"/>
              </w:rPr>
              <w:t>Set vault.url to a name from the certificate's SANs (Section 3.1). Do NOT reach for verify_tls: false — that discards the check entirely rather than fixing it</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every configured group name a real one? (fails loudly if not)</w:t>
      </w:r>
    </w:p>
    <w:p>
      <w:pPr>
        <w:spacing w:after="0" w:before="0" w:line="240" w:lineRule="auto"/>
        <w:ind w:left="170"/>
        <w:shd w:val="clear" w:color="auto" w:fill="F4F4F1"/>
      </w:pPr>
      <w:r>
        <w:rPr>
          <w:rFonts w:ascii="Consolas" w:hAnsi="Consolas"/>
          <w:color w:val="0B0B0B"/>
          <w:sz w:val="17"/>
        </w:rPr>
        <w:t>python run.py doctor | grep "snow groups"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What are the real names, and how much traffic does each carry?</w:t>
      </w:r>
    </w:p>
    <w:p>
      <w:pPr>
        <w:spacing w:after="0" w:before="0" w:line="240" w:lineRule="auto"/>
        <w:ind w:left="170"/>
        <w:shd w:val="clear" w:color="auto" w:fill="F4F4F1"/>
      </w:pPr>
      <w:r>
        <w:rPr>
          <w:rFonts w:ascii="Consolas" w:hAnsi="Consolas"/>
          <w:color w:val="0B0B0B"/>
          <w:sz w:val="17"/>
        </w:rPr>
        <w:t>python ops/find_groups.py "Service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Still nothing? Take the incident query apart clause by clause.</w:t>
      </w:r>
    </w:p>
    <w:p>
      <w:pPr>
        <w:spacing w:after="0" w:before="0" w:line="240" w:lineRule="auto"/>
        <w:ind w:left="170"/>
        <w:shd w:val="clear" w:color="auto" w:fill="F4F4F1"/>
      </w:pPr>
      <w:r>
        <w:rPr>
          <w:rFonts w:ascii="Consolas" w:hAnsi="Consolas"/>
          <w:color w:val="0B0B0B"/>
          <w:sz w:val="17"/>
        </w:rPr>
        <w:t>python ops/probe_resolved.py --days 30</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servicenow.assignment_groups does not match sys_user_group.name exactly — a trailing space, different capitalisation, or an abbreviation such as "Service Desk" where the group is really "IT Service Desk". The comparison is exact, and a near-miss returns HTTP 200 with an empty result rather than an error, so it presents as a quiet day rather than as a fault. The "snow groups" check in run.py doctor exists specifically to turn this into a visible failure.</w:t>
      </w:r>
    </w:p>
    <w:p>
      <w:pPr>
        <w:pStyle w:val="Heading3"/>
      </w:pPr>
      <w:r>
        <w:t>22.2.1 Why a wrong group name is silent</w:t>
      </w:r>
    </w:p>
    <w:p>
      <w:r>
        <w:rPr>
          <w:b w:val="0"/>
          <w:i w:val="0"/>
          <w:sz w:val="21"/>
        </w:rPr>
        <w:t>Two ServiceNow behaviours combine to hide this, and they fail in opposite directions. Knowing which one you are looking at saves a lot of 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64"/>
            <w:shd w:val="clear" w:color="auto" w:fill="E8E8E3"/>
          </w:tcPr>
          <w:p>
            <w:pPr>
              <w:spacing w:after="40" w:before="40"/>
            </w:pPr>
            <w:r/>
            <w:r>
              <w:rPr>
                <w:b/>
                <w:sz w:val="19"/>
              </w:rPr>
              <w:t>Situation</w:t>
            </w:r>
          </w:p>
        </w:tc>
        <w:tc>
          <w:tcPr>
            <w:tcW w:type="dxa" w:w="1191"/>
            <w:shd w:val="clear" w:color="auto" w:fill="E8E8E3"/>
          </w:tcPr>
          <w:p>
            <w:pPr>
              <w:spacing w:after="40" w:before="40"/>
            </w:pPr>
            <w:r/>
            <w:r>
              <w:rPr>
                <w:b/>
                <w:sz w:val="19"/>
              </w:rPr>
              <w:t>What ServiceNow does</w:t>
            </w:r>
          </w:p>
        </w:tc>
        <w:tc>
          <w:tcPr>
            <w:tcW w:type="dxa" w:w="1247"/>
            <w:shd w:val="clear" w:color="auto" w:fill="E8E8E3"/>
          </w:tcPr>
          <w:p>
            <w:pPr>
              <w:spacing w:after="40" w:before="40"/>
            </w:pPr>
            <w:r/>
            <w:r>
              <w:rPr>
                <w:b/>
                <w:sz w:val="19"/>
              </w:rPr>
              <w:t>What you see</w:t>
            </w:r>
          </w:p>
        </w:tc>
      </w:tr>
      <w:tr>
        <w:tc>
          <w:tcPr>
            <w:tcW w:type="dxa" w:w="964"/>
          </w:tcPr>
          <w:p>
            <w:pPr>
              <w:spacing w:after="40" w:before="40"/>
            </w:pPr>
            <w:r/>
            <w:r>
              <w:rPr>
                <w:sz w:val="19"/>
              </w:rPr>
              <w:t>Valid query, no matching records</w:t>
            </w:r>
          </w:p>
        </w:tc>
        <w:tc>
          <w:tcPr>
            <w:tcW w:type="dxa" w:w="1191"/>
          </w:tcPr>
          <w:p>
            <w:pPr>
              <w:spacing w:after="40" w:before="40"/>
            </w:pPr>
            <w:r/>
            <w:r>
              <w:rPr>
                <w:sz w:val="19"/>
              </w:rPr>
              <w:t>Returns an empty result set, HTTP 200</w:t>
            </w:r>
          </w:p>
        </w:tc>
        <w:tc>
          <w:tcPr>
            <w:tcW w:type="dxa" w:w="1247"/>
          </w:tcPr>
          <w:p>
            <w:pPr>
              <w:spacing w:after="40" w:before="40"/>
            </w:pPr>
            <w:r/>
            <w:r>
              <w:rPr>
                <w:sz w:val="19"/>
              </w:rPr>
              <w:t>Zero tickets — looks like a quiet queue</w:t>
            </w:r>
          </w:p>
        </w:tc>
      </w:tr>
      <w:tr>
        <w:tc>
          <w:tcPr>
            <w:tcW w:type="dxa" w:w="964"/>
          </w:tcPr>
          <w:p>
            <w:pPr>
              <w:spacing w:after="40" w:before="40"/>
            </w:pPr>
            <w:r/>
            <w:r>
              <w:rPr>
                <w:sz w:val="19"/>
              </w:rPr>
              <w:t>Unparseable condition</w:t>
            </w:r>
          </w:p>
        </w:tc>
        <w:tc>
          <w:tcPr>
            <w:tcW w:type="dxa" w:w="1191"/>
          </w:tcPr>
          <w:p>
            <w:pPr>
              <w:spacing w:after="40" w:before="40"/>
            </w:pPr>
            <w:r/>
            <w:r>
              <w:rPr>
                <w:sz w:val="19"/>
              </w:rPr>
              <w:t>Drops that condition and runs the rest</w:t>
            </w:r>
          </w:p>
        </w:tc>
        <w:tc>
          <w:tcPr>
            <w:tcW w:type="dxa" w:w="1247"/>
          </w:tcPr>
          <w:p>
            <w:pPr>
              <w:spacing w:after="40" w:before="40"/>
            </w:pPr>
            <w:r/>
            <w:r>
              <w:rPr>
                <w:sz w:val="19"/>
              </w:rPr>
              <w:t>Too many tickets — a filter that appears to be off</w:t>
            </w:r>
          </w:p>
        </w:tc>
      </w:tr>
    </w:tbl>
    <w:p>
      <w:pPr>
        <w:spacing w:after="80"/>
      </w:pPr>
    </w:p>
    <w:p>
      <w:r>
        <w:rPr>
          <w:b w:val="0"/>
          <w:i w:val="0"/>
          <w:sz w:val="21"/>
        </w:rPr>
        <w:t>A misspelled group name is the first row. A malformed operator — the wrong relative-date unit, for instance — is the second. Because neither raises, always compare a suspect query against an unfiltered baseline: if adding a clause does not change the count, that clause is not being applied.</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thresholds.stagnation_days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thresholds.critical_stagnation_days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thresholds.sla_jeopardy_pct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thresholds.auto_close_followups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thresholds.auto_close_silence_days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python run.py passwd  --username X</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ball_in_court</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Service Desk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