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0B0B"/>
          <w:sz w:val="64"/>
        </w:rPr>
        <w:t>Aged Ticket Advisor</w:t>
      </w:r>
    </w:p>
    <w:p>
      <w:r>
        <w:rPr>
          <w:color w:val="1C5CAB"/>
          <w:sz w:val="36"/>
        </w:rPr>
        <w:t>User Manual</w:t>
      </w:r>
    </w:p>
    <w:p>
      <w:r>
        <w:rPr>
          <w:color w:val="52514E"/>
          <w:sz w:val="25"/>
        </w:rPr>
        <w:t>For Support Agents and Team Leads</w:t>
      </w:r>
    </w:p>
    <w:p/>
    <w:p>
      <w:r>
        <w:rPr>
          <w:b w:val="0"/>
          <w:i w:val="0"/>
          <w:color w:val="52514E"/>
          <w:sz w:val="23"/>
        </w:rPr>
        <w:t>Your aged tickets, sorted by what actually needs you first — with a suggested next step and the evidence behind it.</w:t>
      </w:r>
    </w:p>
    <w:p/>
    <w:tbl>
      <w:tblPr>
        <w:tblStyle w:val="TableGrid"/>
        <w:tblW w:type="auto" w:w="0"/>
        <w:jc w:val="left"/>
        <w:tblLayout w:type="autofit"/>
        <w:tblLook w:firstColumn="1" w:firstRow="1" w:lastColumn="0" w:lastRow="0" w:noHBand="0" w:noVBand="1" w:val="04A0"/>
      </w:tblPr>
      <w:tblGrid>
        <w:gridCol w:w="4929"/>
        <w:gridCol w:w="4929"/>
      </w:tblGrid>
      <w:tr>
        <w:tc>
          <w:tcPr>
            <w:tcW w:type="dxa" w:w="2494"/>
            <w:shd w:val="clear" w:color="auto" w:fill="E8E8E3"/>
          </w:tcPr>
          <w:p>
            <w:pPr>
              <w:spacing w:after="40" w:before="40"/>
            </w:pPr>
            <w:r/>
            <w:r>
              <w:rPr>
                <w:b/>
                <w:sz w:val="19"/>
              </w:rPr>
            </w:r>
          </w:p>
        </w:tc>
        <w:tc>
          <w:tcPr>
            <w:tcW w:type="dxa" w:w="6803"/>
            <w:shd w:val="clear" w:color="auto" w:fill="E8E8E3"/>
          </w:tcPr>
          <w:p>
            <w:pPr>
              <w:spacing w:after="40" w:before="40"/>
            </w:pPr>
            <w:r/>
            <w:r>
              <w:rPr>
                <w:b/>
                <w:sz w:val="19"/>
              </w:rPr>
            </w:r>
          </w:p>
        </w:tc>
      </w:tr>
      <w:tr>
        <w:tc>
          <w:tcPr>
            <w:tcW w:type="dxa" w:w="2494"/>
          </w:tcPr>
          <w:p>
            <w:pPr>
              <w:spacing w:after="40" w:before="40"/>
            </w:pPr>
            <w:r/>
            <w:r>
              <w:rPr>
                <w:sz w:val="19"/>
              </w:rPr>
              <w:t>What it does</w:t>
            </w:r>
          </w:p>
        </w:tc>
        <w:tc>
          <w:tcPr>
            <w:tcW w:type="dxa" w:w="6803"/>
          </w:tcPr>
          <w:p>
            <w:pPr>
              <w:spacing w:after="40" w:before="40"/>
            </w:pPr>
            <w:r/>
            <w:r>
              <w:rPr>
                <w:sz w:val="19"/>
              </w:rPr>
              <w:t>Reviews every open ticket older than 5 days, works out who is really blocking it, ranks them, and suggests what to do next</w:t>
            </w:r>
          </w:p>
        </w:tc>
      </w:tr>
      <w:tr>
        <w:tc>
          <w:tcPr>
            <w:tcW w:type="dxa" w:w="2494"/>
          </w:tcPr>
          <w:p>
            <w:pPr>
              <w:spacing w:after="40" w:before="40"/>
            </w:pPr>
            <w:r/>
            <w:r>
              <w:rPr>
                <w:sz w:val="19"/>
              </w:rPr>
              <w:t>How you use it</w:t>
            </w:r>
          </w:p>
        </w:tc>
        <w:tc>
          <w:tcPr>
            <w:tcW w:type="dxa" w:w="6803"/>
          </w:tcPr>
          <w:p>
            <w:pPr>
              <w:spacing w:after="40" w:before="40"/>
            </w:pPr>
            <w:r/>
            <w:r>
              <w:rPr>
                <w:sz w:val="19"/>
              </w:rPr>
              <w:t>A daily email, and a web board you can open any time</w:t>
            </w:r>
          </w:p>
        </w:tc>
      </w:tr>
      <w:tr>
        <w:tc>
          <w:tcPr>
            <w:tcW w:type="dxa" w:w="2494"/>
          </w:tcPr>
          <w:p>
            <w:pPr>
              <w:spacing w:after="40" w:before="40"/>
            </w:pPr>
            <w:r/>
            <w:r>
              <w:rPr>
                <w:sz w:val="19"/>
              </w:rPr>
              <w:t>Who it is for</w:t>
            </w:r>
          </w:p>
        </w:tc>
        <w:tc>
          <w:tcPr>
            <w:tcW w:type="dxa" w:w="6803"/>
          </w:tcPr>
          <w:p>
            <w:pPr>
              <w:spacing w:after="40" w:before="40"/>
            </w:pPr>
            <w:r/>
            <w:r>
              <w:rPr>
                <w:sz w:val="19"/>
              </w:rPr>
              <w:t>Support agents and team leads, across every queue the tool covers</w:t>
            </w:r>
          </w:p>
        </w:tc>
      </w:tr>
      <w:tr>
        <w:tc>
          <w:tcPr>
            <w:tcW w:type="dxa" w:w="2494"/>
          </w:tcPr>
          <w:p>
            <w:pPr>
              <w:spacing w:after="40" w:before="40"/>
            </w:pPr>
            <w:r/>
            <w:r>
              <w:rPr>
                <w:sz w:val="19"/>
              </w:rPr>
              <w:t>Does it change my tickets?</w:t>
            </w:r>
          </w:p>
        </w:tc>
        <w:tc>
          <w:tcPr>
            <w:tcW w:type="dxa" w:w="6803"/>
          </w:tcPr>
          <w:p>
            <w:pPr>
              <w:spacing w:after="40" w:before="40"/>
            </w:pPr>
            <w:r/>
            <w:r>
              <w:rPr>
                <w:sz w:val="19"/>
              </w:rPr>
              <w:t>No. It cannot. It only reads.</w:t>
            </w:r>
          </w:p>
        </w:tc>
      </w:tr>
      <w:tr>
        <w:tc>
          <w:tcPr>
            <w:tcW w:type="dxa" w:w="2494"/>
          </w:tcPr>
          <w:p>
            <w:pPr>
              <w:spacing w:after="40" w:before="40"/>
            </w:pPr>
            <w:r/>
            <w:r>
              <w:rPr>
                <w:sz w:val="19"/>
              </w:rPr>
              <w:t>Do I have to use it?</w:t>
            </w:r>
          </w:p>
        </w:tc>
        <w:tc>
          <w:tcPr>
            <w:tcW w:type="dxa" w:w="6803"/>
          </w:tcPr>
          <w:p>
            <w:pPr>
              <w:spacing w:after="40" w:before="40"/>
            </w:pPr>
            <w:r/>
            <w:r>
              <w:rPr>
                <w:sz w:val="19"/>
              </w:rPr>
              <w:t>Leads: the morning review moves here. Agents: the digest is a help, not an instruction</w:t>
            </w:r>
          </w:p>
        </w:tc>
      </w:tr>
      <w:tr>
        <w:tc>
          <w:tcPr>
            <w:tcW w:type="dxa" w:w="2494"/>
          </w:tcPr>
          <w:p>
            <w:pPr>
              <w:spacing w:after="40" w:before="40"/>
            </w:pPr>
            <w:r/>
            <w:r>
              <w:rPr>
                <w:sz w:val="19"/>
              </w:rPr>
              <w:t>Version / date</w:t>
            </w:r>
          </w:p>
        </w:tc>
        <w:tc>
          <w:tcPr>
            <w:tcW w:type="dxa" w:w="6803"/>
          </w:tcPr>
          <w:p>
            <w:pPr>
              <w:spacing w:after="40" w:before="40"/>
            </w:pPr>
            <w:r/>
            <w:r>
              <w:rPr>
                <w:sz w:val="19"/>
              </w:rPr>
              <w:t>1.0  ·  23 October 2026</w:t>
            </w:r>
          </w:p>
        </w:tc>
      </w:tr>
    </w:tbl>
    <w:p>
      <w:pPr>
        <w:spacing w:after="80"/>
      </w:pPr>
    </w:p>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New here? Read three things.  </w:t>
      </w:r>
      <w:r>
        <w:rPr>
          <w:color w:val="52514E"/>
          <w:sz w:val="20"/>
        </w:rPr>
        <w:t>Section 1 (what this is and is not), Section 2.2 (the pending action owner — the one concept that makes everything else make sense), and then either Section 4 if you are an agent or Section 5 if you are a lead. Twenty minutes total. Everything else is reference you can come back to.</w:t>
      </w:r>
    </w:p>
    <w:p>
      <w:r>
        <w:br w:type="page"/>
      </w:r>
    </w:p>
    <w:p>
      <w:pPr>
        <w:pStyle w:val="Heading1"/>
      </w:pPr>
      <w:r>
        <w:t>Contents</w:t>
      </w:r>
    </w:p>
    <w:p>
      <w:r>
        <w:rPr>
          <w:b w:val="0"/>
          <w:i/>
          <w:color w:val="898781"/>
          <w:sz w:val="19"/>
        </w:rPr>
        <w:t>Right-click the field below in Word and choose "Update Field" to fill in page numbers.</w:t>
      </w:r>
    </w:p>
    <w:p>
      <w:r>
        <w:fldChar w:fldCharType="begin"/>
        <w:instrText xml:space="preserve">TOC \o "1-2" \h \z \u</w:instrText>
        <w:fldChar w:fldCharType="separate"/>
        <w:t>Table of contents — press F9 in Word.</w:t>
        <w:fldChar w:fldCharType="end"/>
      </w:r>
    </w:p>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907"/>
            <w:shd w:val="clear" w:color="auto" w:fill="E8E8E3"/>
          </w:tcPr>
          <w:p>
            <w:pPr>
              <w:spacing w:after="40" w:before="40"/>
            </w:pPr>
            <w:r/>
            <w:r>
              <w:rPr>
                <w:b/>
                <w:sz w:val="19"/>
              </w:rPr>
              <w:t>Part</w:t>
            </w:r>
          </w:p>
        </w:tc>
        <w:tc>
          <w:tcPr>
            <w:tcW w:type="dxa" w:w="5896"/>
            <w:shd w:val="clear" w:color="auto" w:fill="E8E8E3"/>
          </w:tcPr>
          <w:p>
            <w:pPr>
              <w:spacing w:after="40" w:before="40"/>
            </w:pPr>
            <w:r/>
            <w:r>
              <w:rPr>
                <w:b/>
                <w:sz w:val="19"/>
              </w:rPr>
              <w:t>Section</w:t>
            </w:r>
          </w:p>
        </w:tc>
        <w:tc>
          <w:tcPr>
            <w:tcW w:type="dxa" w:w="2494"/>
            <w:shd w:val="clear" w:color="auto" w:fill="E8E8E3"/>
          </w:tcPr>
          <w:p>
            <w:pPr>
              <w:spacing w:after="40" w:before="40"/>
            </w:pPr>
            <w:r/>
            <w:r>
              <w:rPr>
                <w:b/>
                <w:sz w:val="19"/>
              </w:rPr>
              <w:t>Who it is for</w:t>
            </w:r>
          </w:p>
        </w:tc>
      </w:tr>
      <w:tr>
        <w:tc>
          <w:tcPr>
            <w:tcW w:type="dxa" w:w="907"/>
          </w:tcPr>
          <w:p>
            <w:pPr>
              <w:spacing w:after="40" w:before="40"/>
            </w:pPr>
            <w:r/>
            <w:r>
              <w:rPr>
                <w:sz w:val="19"/>
              </w:rPr>
              <w:t>1</w:t>
            </w:r>
          </w:p>
        </w:tc>
        <w:tc>
          <w:tcPr>
            <w:tcW w:type="dxa" w:w="5896"/>
          </w:tcPr>
          <w:p>
            <w:pPr>
              <w:spacing w:after="40" w:before="40"/>
            </w:pPr>
            <w:r/>
            <w:r>
              <w:rPr>
                <w:sz w:val="19"/>
              </w:rPr>
              <w:t>1. What this is, and what it is not</w:t>
            </w:r>
          </w:p>
        </w:tc>
        <w:tc>
          <w:tcPr>
            <w:tcW w:type="dxa" w:w="2494"/>
          </w:tcPr>
          <w:p>
            <w:pPr>
              <w:spacing w:after="40" w:before="40"/>
            </w:pPr>
            <w:r/>
            <w:r>
              <w:rPr>
                <w:sz w:val="19"/>
              </w:rPr>
              <w:t>Everyone</w:t>
            </w:r>
          </w:p>
        </w:tc>
      </w:tr>
      <w:tr>
        <w:tc>
          <w:tcPr>
            <w:tcW w:type="dxa" w:w="907"/>
          </w:tcPr>
          <w:p>
            <w:pPr>
              <w:spacing w:after="40" w:before="40"/>
            </w:pPr>
            <w:r/>
            <w:r>
              <w:rPr>
                <w:sz w:val="19"/>
              </w:rPr>
              <w:t>1</w:t>
            </w:r>
          </w:p>
        </w:tc>
        <w:tc>
          <w:tcPr>
            <w:tcW w:type="dxa" w:w="5896"/>
          </w:tcPr>
          <w:p>
            <w:pPr>
              <w:spacing w:after="40" w:before="40"/>
            </w:pPr>
            <w:r/>
            <w:r>
              <w:rPr>
                <w:sz w:val="19"/>
              </w:rPr>
              <w:t>2. The ideas behind the numbers</w:t>
            </w:r>
          </w:p>
        </w:tc>
        <w:tc>
          <w:tcPr>
            <w:tcW w:type="dxa" w:w="2494"/>
          </w:tcPr>
          <w:p>
            <w:pPr>
              <w:spacing w:after="40" w:before="40"/>
            </w:pPr>
            <w:r/>
            <w:r>
              <w:rPr>
                <w:sz w:val="19"/>
              </w:rPr>
              <w:t>Everyone</w:t>
            </w:r>
          </w:p>
        </w:tc>
      </w:tr>
      <w:tr>
        <w:tc>
          <w:tcPr>
            <w:tcW w:type="dxa" w:w="907"/>
          </w:tcPr>
          <w:p>
            <w:pPr>
              <w:spacing w:after="40" w:before="40"/>
            </w:pPr>
            <w:r/>
            <w:r>
              <w:rPr>
                <w:sz w:val="19"/>
              </w:rPr>
              <w:t>1</w:t>
            </w:r>
          </w:p>
        </w:tc>
        <w:tc>
          <w:tcPr>
            <w:tcW w:type="dxa" w:w="5896"/>
          </w:tcPr>
          <w:p>
            <w:pPr>
              <w:spacing w:after="40" w:before="40"/>
            </w:pPr>
            <w:r/>
            <w:r>
              <w:rPr>
                <w:sz w:val="19"/>
              </w:rPr>
              <w:t>3. What the tool suggests, and how much to trust it</w:t>
            </w:r>
          </w:p>
        </w:tc>
        <w:tc>
          <w:tcPr>
            <w:tcW w:type="dxa" w:w="2494"/>
          </w:tcPr>
          <w:p>
            <w:pPr>
              <w:spacing w:after="40" w:before="40"/>
            </w:pPr>
            <w:r/>
            <w:r>
              <w:rPr>
                <w:sz w:val="19"/>
              </w:rPr>
              <w:t>Everyone</w:t>
            </w:r>
          </w:p>
        </w:tc>
      </w:tr>
      <w:tr>
        <w:tc>
          <w:tcPr>
            <w:tcW w:type="dxa" w:w="907"/>
          </w:tcPr>
          <w:p>
            <w:pPr>
              <w:spacing w:after="40" w:before="40"/>
            </w:pPr>
            <w:r/>
            <w:r>
              <w:rPr>
                <w:sz w:val="19"/>
              </w:rPr>
              <w:t>2</w:t>
            </w:r>
          </w:p>
        </w:tc>
        <w:tc>
          <w:tcPr>
            <w:tcW w:type="dxa" w:w="5896"/>
          </w:tcPr>
          <w:p>
            <w:pPr>
              <w:spacing w:after="40" w:before="40"/>
            </w:pPr>
            <w:r/>
            <w:r>
              <w:rPr>
                <w:sz w:val="19"/>
              </w:rPr>
              <w:t>4. For agents</w:t>
            </w:r>
          </w:p>
        </w:tc>
        <w:tc>
          <w:tcPr>
            <w:tcW w:type="dxa" w:w="2494"/>
          </w:tcPr>
          <w:p>
            <w:pPr>
              <w:spacing w:after="40" w:before="40"/>
            </w:pPr>
            <w:r/>
            <w:r>
              <w:rPr>
                <w:sz w:val="19"/>
              </w:rPr>
              <w:t>Agents</w:t>
            </w:r>
          </w:p>
        </w:tc>
      </w:tr>
      <w:tr>
        <w:tc>
          <w:tcPr>
            <w:tcW w:type="dxa" w:w="907"/>
          </w:tcPr>
          <w:p>
            <w:pPr>
              <w:spacing w:after="40" w:before="40"/>
            </w:pPr>
            <w:r/>
            <w:r>
              <w:rPr>
                <w:sz w:val="19"/>
              </w:rPr>
              <w:t>3</w:t>
            </w:r>
          </w:p>
        </w:tc>
        <w:tc>
          <w:tcPr>
            <w:tcW w:type="dxa" w:w="5896"/>
          </w:tcPr>
          <w:p>
            <w:pPr>
              <w:spacing w:after="40" w:before="40"/>
            </w:pPr>
            <w:r/>
            <w:r>
              <w:rPr>
                <w:sz w:val="19"/>
              </w:rPr>
              <w:t>5. For leads</w:t>
            </w:r>
          </w:p>
        </w:tc>
        <w:tc>
          <w:tcPr>
            <w:tcW w:type="dxa" w:w="2494"/>
          </w:tcPr>
          <w:p>
            <w:pPr>
              <w:spacing w:after="40" w:before="40"/>
            </w:pPr>
            <w:r/>
            <w:r>
              <w:rPr>
                <w:sz w:val="19"/>
              </w:rPr>
              <w:t>Leads</w:t>
            </w:r>
          </w:p>
        </w:tc>
      </w:tr>
      <w:tr>
        <w:tc>
          <w:tcPr>
            <w:tcW w:type="dxa" w:w="907"/>
          </w:tcPr>
          <w:p>
            <w:pPr>
              <w:spacing w:after="40" w:before="40"/>
            </w:pPr>
            <w:r/>
            <w:r>
              <w:rPr>
                <w:sz w:val="19"/>
              </w:rPr>
              <w:t>4</w:t>
            </w:r>
          </w:p>
        </w:tc>
        <w:tc>
          <w:tcPr>
            <w:tcW w:type="dxa" w:w="5896"/>
          </w:tcPr>
          <w:p>
            <w:pPr>
              <w:spacing w:after="40" w:before="40"/>
            </w:pPr>
            <w:r/>
            <w:r>
              <w:rPr>
                <w:sz w:val="19"/>
              </w:rPr>
              <w:t>6. Worked examples</w:t>
            </w:r>
          </w:p>
        </w:tc>
        <w:tc>
          <w:tcPr>
            <w:tcW w:type="dxa" w:w="2494"/>
          </w:tcPr>
          <w:p>
            <w:pPr>
              <w:spacing w:after="40" w:before="40"/>
            </w:pPr>
            <w:r/>
            <w:r>
              <w:rPr>
                <w:sz w:val="19"/>
              </w:rPr>
              <w:t>Everyone</w:t>
            </w:r>
          </w:p>
        </w:tc>
      </w:tr>
      <w:tr>
        <w:tc>
          <w:tcPr>
            <w:tcW w:type="dxa" w:w="907"/>
          </w:tcPr>
          <w:p>
            <w:pPr>
              <w:spacing w:after="40" w:before="40"/>
            </w:pPr>
            <w:r/>
            <w:r>
              <w:rPr>
                <w:sz w:val="19"/>
              </w:rPr>
              <w:t>4</w:t>
            </w:r>
          </w:p>
        </w:tc>
        <w:tc>
          <w:tcPr>
            <w:tcW w:type="dxa" w:w="5896"/>
          </w:tcPr>
          <w:p>
            <w:pPr>
              <w:spacing w:after="40" w:before="40"/>
            </w:pPr>
            <w:r/>
            <w:r>
              <w:rPr>
                <w:sz w:val="19"/>
              </w:rPr>
              <w:t>7. Frequently asked questions</w:t>
            </w:r>
          </w:p>
        </w:tc>
        <w:tc>
          <w:tcPr>
            <w:tcW w:type="dxa" w:w="2494"/>
          </w:tcPr>
          <w:p>
            <w:pPr>
              <w:spacing w:after="40" w:before="40"/>
            </w:pPr>
            <w:r/>
            <w:r>
              <w:rPr>
                <w:sz w:val="19"/>
              </w:rPr>
              <w:t>Everyone</w:t>
            </w:r>
          </w:p>
        </w:tc>
      </w:tr>
      <w:tr>
        <w:tc>
          <w:tcPr>
            <w:tcW w:type="dxa" w:w="907"/>
          </w:tcPr>
          <w:p>
            <w:pPr>
              <w:spacing w:after="40" w:before="40"/>
            </w:pPr>
            <w:r/>
            <w:r>
              <w:rPr>
                <w:sz w:val="19"/>
              </w:rPr>
              <w:t>4</w:t>
            </w:r>
          </w:p>
        </w:tc>
        <w:tc>
          <w:tcPr>
            <w:tcW w:type="dxa" w:w="5896"/>
          </w:tcPr>
          <w:p>
            <w:pPr>
              <w:spacing w:after="40" w:before="40"/>
            </w:pPr>
            <w:r/>
            <w:r>
              <w:rPr>
                <w:sz w:val="19"/>
              </w:rPr>
              <w:t>8. Privacy and your data</w:t>
            </w:r>
          </w:p>
        </w:tc>
        <w:tc>
          <w:tcPr>
            <w:tcW w:type="dxa" w:w="2494"/>
          </w:tcPr>
          <w:p>
            <w:pPr>
              <w:spacing w:after="40" w:before="40"/>
            </w:pPr>
            <w:r/>
            <w:r>
              <w:rPr>
                <w:sz w:val="19"/>
              </w:rPr>
              <w:t>Everyone</w:t>
            </w:r>
          </w:p>
        </w:tc>
      </w:tr>
      <w:tr>
        <w:tc>
          <w:tcPr>
            <w:tcW w:type="dxa" w:w="907"/>
          </w:tcPr>
          <w:p>
            <w:pPr>
              <w:spacing w:after="40" w:before="40"/>
            </w:pPr>
            <w:r/>
            <w:r>
              <w:rPr>
                <w:sz w:val="19"/>
              </w:rPr>
              <w:t>4</w:t>
            </w:r>
          </w:p>
        </w:tc>
        <w:tc>
          <w:tcPr>
            <w:tcW w:type="dxa" w:w="5896"/>
          </w:tcPr>
          <w:p>
            <w:pPr>
              <w:spacing w:after="40" w:before="40"/>
            </w:pPr>
            <w:r/>
            <w:r>
              <w:rPr>
                <w:sz w:val="19"/>
              </w:rPr>
              <w:t>9. Glossary</w:t>
            </w:r>
          </w:p>
        </w:tc>
        <w:tc>
          <w:tcPr>
            <w:tcW w:type="dxa" w:w="2494"/>
          </w:tcPr>
          <w:p>
            <w:pPr>
              <w:spacing w:after="40" w:before="40"/>
            </w:pPr>
            <w:r/>
            <w:r>
              <w:rPr>
                <w:sz w:val="19"/>
              </w:rPr>
              <w:t>Everyone</w:t>
            </w:r>
          </w:p>
        </w:tc>
      </w:tr>
      <w:tr>
        <w:tc>
          <w:tcPr>
            <w:tcW w:type="dxa" w:w="907"/>
          </w:tcPr>
          <w:p>
            <w:pPr>
              <w:spacing w:after="40" w:before="40"/>
            </w:pPr>
            <w:r/>
            <w:r>
              <w:rPr>
                <w:sz w:val="19"/>
              </w:rPr>
              <w:t>4</w:t>
            </w:r>
          </w:p>
        </w:tc>
        <w:tc>
          <w:tcPr>
            <w:tcW w:type="dxa" w:w="5896"/>
          </w:tcPr>
          <w:p>
            <w:pPr>
              <w:spacing w:after="40" w:before="40"/>
            </w:pPr>
            <w:r/>
            <w:r>
              <w:rPr>
                <w:sz w:val="19"/>
              </w:rPr>
              <w:t>10. Getting help</w:t>
            </w:r>
          </w:p>
        </w:tc>
        <w:tc>
          <w:tcPr>
            <w:tcW w:type="dxa" w:w="2494"/>
          </w:tcPr>
          <w:p>
            <w:pPr>
              <w:spacing w:after="40" w:before="40"/>
            </w:pPr>
            <w:r/>
            <w:r>
              <w:rPr>
                <w:sz w:val="19"/>
              </w:rPr>
              <w:t>Everyone</w:t>
            </w:r>
          </w:p>
        </w:tc>
      </w:tr>
    </w:tbl>
    <w:p>
      <w:pPr>
        <w:spacing w:after="80"/>
      </w:pPr>
    </w:p>
    <w:p>
      <w:r>
        <w:br w:type="page"/>
      </w:r>
    </w:p>
    <w:p>
      <w:pPr>
        <w:pStyle w:val="Heading1"/>
      </w:pPr>
      <w:r>
        <w:t>1. What this is, and what it is not</w:t>
      </w:r>
    </w:p>
    <w:p>
      <w:pPr>
        <w:pStyle w:val="Heading2"/>
      </w:pPr>
      <w:r>
        <w:t>1.1 The problem it solves</w:t>
      </w:r>
    </w:p>
    <w:p>
      <w:r>
        <w:rPr>
          <w:b w:val="0"/>
          <w:i w:val="0"/>
          <w:sz w:val="21"/>
        </w:rPr>
        <w:t>Every day, leads work through the aged pending list ticket by ticket: opening each one, reading the history, working out whether anything has actually happened, and deciding whether to nudge the agent. It is important work and it takes a long time, and most of that time is spent on tickets that turn out to be fine.</w:t>
      </w:r>
    </w:p>
    <w:p>
      <w:r>
        <w:rPr>
          <w:b w:val="0"/>
          <w:i w:val="0"/>
          <w:sz w:val="21"/>
        </w:rPr>
        <w:t>The Aged Ticket Advisor does the reading first. By the time you open the list, every ticket already has:</w:t>
      </w:r>
    </w:p>
    <w:p>
      <w:pPr>
        <w:pStyle w:val="ListBullet"/>
        <w:spacing w:after="60"/>
        <w:ind w:left="397"/>
      </w:pPr>
      <w:r>
        <w:rPr>
          <w:sz w:val="21"/>
        </w:rPr>
        <w:t>a plain answer to "is anyone actually blocked on us, or are we waiting on someone else?"</w:t>
      </w:r>
    </w:p>
    <w:p>
      <w:pPr>
        <w:pStyle w:val="ListBullet"/>
        <w:spacing w:after="60"/>
        <w:ind w:left="397"/>
      </w:pPr>
      <w:r>
        <w:rPr>
          <w:sz w:val="21"/>
        </w:rPr>
        <w:t>a score from 0 to 100 saying how much it needs attention, so the list is in the right order</w:t>
      </w:r>
    </w:p>
    <w:p>
      <w:pPr>
        <w:pStyle w:val="ListBullet"/>
        <w:spacing w:after="60"/>
        <w:ind w:left="397"/>
      </w:pPr>
      <w:r>
        <w:rPr>
          <w:sz w:val="21"/>
        </w:rPr>
        <w:t>a suggested next step, with the reasoning and the evidence behind it</w:t>
      </w:r>
    </w:p>
    <w:p>
      <w:pPr>
        <w:pStyle w:val="ListBullet"/>
        <w:spacing w:after="60"/>
        <w:ind w:left="397"/>
      </w:pPr>
      <w:r>
        <w:rPr>
          <w:sz w:val="21"/>
        </w:rPr>
        <w:t>a ready-to-paste work note and caller message, if one is appropriate</w:t>
      </w:r>
    </w:p>
    <w:p>
      <w:pPr>
        <w:pStyle w:val="Heading2"/>
      </w:pPr>
      <w:r>
        <w:t>1.2 What it is not</w:t>
      </w: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It never changes a ticket.  </w:t>
      </w:r>
      <w:r>
        <w:rPr>
          <w:color w:val="52514E"/>
          <w:sz w:val="20"/>
        </w:rPr>
        <w:t>The tool has no ability to write to ServiceNow at all — not a work note, not a state change, not a reassignment. It reads, it thinks, it tells you. Every action is still taken by a person, in ServiceNow, exactly as it is today.</w:t>
      </w:r>
    </w:p>
    <w:tbl>
      <w:tblPr>
        <w:tblStyle w:val="TableGrid"/>
        <w:tblW w:type="auto" w:w="0"/>
        <w:jc w:val="left"/>
        <w:tblLayout w:type="autofit"/>
        <w:tblLook w:firstColumn="1" w:firstRow="1" w:lastColumn="0" w:lastRow="0" w:noHBand="0" w:noVBand="1" w:val="04A0"/>
      </w:tblPr>
      <w:tblGrid>
        <w:gridCol w:w="4929"/>
        <w:gridCol w:w="4929"/>
      </w:tblGrid>
      <w:tr>
        <w:tc>
          <w:tcPr>
            <w:tcW w:type="dxa" w:w="3175"/>
            <w:shd w:val="clear" w:color="auto" w:fill="E8E8E3"/>
          </w:tcPr>
          <w:p>
            <w:pPr>
              <w:spacing w:after="40" w:before="40"/>
            </w:pPr>
            <w:r/>
            <w:r>
              <w:rPr>
                <w:b/>
                <w:sz w:val="19"/>
              </w:rPr>
              <w:t>People sometimes assume...</w:t>
            </w:r>
          </w:p>
        </w:tc>
        <w:tc>
          <w:tcPr>
            <w:tcW w:type="dxa" w:w="6123"/>
            <w:shd w:val="clear" w:color="auto" w:fill="E8E8E3"/>
          </w:tcPr>
          <w:p>
            <w:pPr>
              <w:spacing w:after="40" w:before="40"/>
            </w:pPr>
            <w:r/>
            <w:r>
              <w:rPr>
                <w:b/>
                <w:sz w:val="19"/>
              </w:rPr>
              <w:t>The reality</w:t>
            </w:r>
          </w:p>
        </w:tc>
      </w:tr>
      <w:tr>
        <w:tc>
          <w:tcPr>
            <w:tcW w:type="dxa" w:w="3175"/>
          </w:tcPr>
          <w:p>
            <w:pPr>
              <w:spacing w:after="40" w:before="40"/>
            </w:pPr>
            <w:r/>
            <w:r>
              <w:rPr>
                <w:sz w:val="19"/>
              </w:rPr>
              <w:t>"It will close my tickets."</w:t>
            </w:r>
          </w:p>
        </w:tc>
        <w:tc>
          <w:tcPr>
            <w:tcW w:type="dxa" w:w="6123"/>
          </w:tcPr>
          <w:p>
            <w:pPr>
              <w:spacing w:after="40" w:before="40"/>
            </w:pPr>
            <w:r/>
            <w:r>
              <w:rPr>
                <w:sz w:val="19"/>
              </w:rPr>
              <w:t>It cannot. It can suggest a ticket looks closable; a person still has to do it.</w:t>
            </w:r>
          </w:p>
        </w:tc>
      </w:tr>
      <w:tr>
        <w:tc>
          <w:tcPr>
            <w:tcW w:type="dxa" w:w="3175"/>
          </w:tcPr>
          <w:p>
            <w:pPr>
              <w:spacing w:after="40" w:before="40"/>
            </w:pPr>
            <w:r/>
            <w:r>
              <w:rPr>
                <w:sz w:val="19"/>
              </w:rPr>
              <w:t>"It is always right."</w:t>
            </w:r>
          </w:p>
        </w:tc>
        <w:tc>
          <w:tcPr>
            <w:tcW w:type="dxa" w:w="6123"/>
          </w:tcPr>
          <w:p>
            <w:pPr>
              <w:spacing w:after="40" w:before="40"/>
            </w:pPr>
            <w:r/>
            <w:r>
              <w:rPr>
                <w:sz w:val="19"/>
              </w:rPr>
              <w:t>It is not, and it tells you how confident it is. Below 50% it says so explicitly and asks you to look properly.</w:t>
            </w:r>
          </w:p>
        </w:tc>
      </w:tr>
      <w:tr>
        <w:tc>
          <w:tcPr>
            <w:tcW w:type="dxa" w:w="3175"/>
          </w:tcPr>
          <w:p>
            <w:pPr>
              <w:spacing w:after="40" w:before="40"/>
            </w:pPr>
            <w:r/>
            <w:r>
              <w:rPr>
                <w:sz w:val="19"/>
              </w:rPr>
              <w:t>"It replaces my judgement."</w:t>
            </w:r>
          </w:p>
        </w:tc>
        <w:tc>
          <w:tcPr>
            <w:tcW w:type="dxa" w:w="6123"/>
          </w:tcPr>
          <w:p>
            <w:pPr>
              <w:spacing w:after="40" w:before="40"/>
            </w:pPr>
            <w:r/>
            <w:r>
              <w:rPr>
                <w:sz w:val="19"/>
              </w:rPr>
              <w:t>It does the reading so you can spend your time deciding. The decision is still yours.</w:t>
            </w:r>
          </w:p>
        </w:tc>
      </w:tr>
      <w:tr>
        <w:tc>
          <w:tcPr>
            <w:tcW w:type="dxa" w:w="3175"/>
          </w:tcPr>
          <w:p>
            <w:pPr>
              <w:spacing w:after="40" w:before="40"/>
            </w:pPr>
            <w:r/>
            <w:r>
              <w:rPr>
                <w:sz w:val="19"/>
              </w:rPr>
              <w:t>"It is a performance monitoring tool."</w:t>
            </w:r>
          </w:p>
        </w:tc>
        <w:tc>
          <w:tcPr>
            <w:tcW w:type="dxa" w:w="6123"/>
          </w:tcPr>
          <w:p>
            <w:pPr>
              <w:spacing w:after="40" w:before="40"/>
            </w:pPr>
            <w:r/>
            <w:r>
              <w:rPr>
                <w:sz w:val="19"/>
              </w:rPr>
              <w:t>It shows leads the same aged-ticket information they can already pull from ServiceNow, organised better. See Section 8 for exactly what is visible to whom — we would rather you knew than guessed.</w:t>
            </w:r>
          </w:p>
        </w:tc>
      </w:tr>
      <w:tr>
        <w:tc>
          <w:tcPr>
            <w:tcW w:type="dxa" w:w="3175"/>
          </w:tcPr>
          <w:p>
            <w:pPr>
              <w:spacing w:after="40" w:before="40"/>
            </w:pPr>
            <w:r/>
            <w:r>
              <w:rPr>
                <w:sz w:val="19"/>
              </w:rPr>
              <w:t>"It reads customer data and sends it to an AI."</w:t>
            </w:r>
          </w:p>
        </w:tc>
        <w:tc>
          <w:tcPr>
            <w:tcW w:type="dxa" w:w="6123"/>
          </w:tcPr>
          <w:p>
            <w:pPr>
              <w:spacing w:after="40" w:before="40"/>
            </w:pPr>
            <w:r/>
            <w:r>
              <w:rPr>
                <w:sz w:val="19"/>
              </w:rPr>
              <w:t>It reads ticket data. Phone numbers, email addresses, card and ID numbers, keys and passwords are masked before anything is sent. Section 8.2 has the detail.</w:t>
            </w:r>
          </w:p>
        </w:tc>
      </w:tr>
    </w:tbl>
    <w:p>
      <w:pPr>
        <w:spacing w:after="80"/>
      </w:pPr>
    </w:p>
    <w:p>
      <w:pPr>
        <w:pStyle w:val="Heading2"/>
      </w:pPr>
      <w:r>
        <w:t>1.3 What changes for you</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928"/>
            <w:shd w:val="clear" w:color="auto" w:fill="E8E8E3"/>
          </w:tcPr>
          <w:p>
            <w:pPr>
              <w:spacing w:after="40" w:before="40"/>
            </w:pPr>
            <w:r/>
            <w:r>
              <w:rPr>
                <w:b/>
                <w:sz w:val="19"/>
              </w:rPr>
            </w:r>
          </w:p>
        </w:tc>
        <w:tc>
          <w:tcPr>
            <w:tcW w:type="dxa" w:w="3515"/>
            <w:shd w:val="clear" w:color="auto" w:fill="E8E8E3"/>
          </w:tcPr>
          <w:p>
            <w:pPr>
              <w:spacing w:after="40" w:before="40"/>
            </w:pPr>
            <w:r/>
            <w:r>
              <w:rPr>
                <w:b/>
                <w:sz w:val="19"/>
              </w:rPr>
              <w:t>Before</w:t>
            </w:r>
          </w:p>
        </w:tc>
        <w:tc>
          <w:tcPr>
            <w:tcW w:type="dxa" w:w="3855"/>
            <w:shd w:val="clear" w:color="auto" w:fill="E8E8E3"/>
          </w:tcPr>
          <w:p>
            <w:pPr>
              <w:spacing w:after="40" w:before="40"/>
            </w:pPr>
            <w:r/>
            <w:r>
              <w:rPr>
                <w:b/>
                <w:sz w:val="19"/>
              </w:rPr>
              <w:t>Now</w:t>
            </w:r>
          </w:p>
        </w:tc>
      </w:tr>
      <w:tr>
        <w:tc>
          <w:tcPr>
            <w:tcW w:type="dxa" w:w="1928"/>
          </w:tcPr>
          <w:p>
            <w:pPr>
              <w:spacing w:after="40" w:before="40"/>
            </w:pPr>
            <w:r/>
            <w:r>
              <w:rPr>
                <w:sz w:val="19"/>
              </w:rPr>
              <w:t>Lead — morning review</w:t>
            </w:r>
          </w:p>
        </w:tc>
        <w:tc>
          <w:tcPr>
            <w:tcW w:type="dxa" w:w="3515"/>
          </w:tcPr>
          <w:p>
            <w:pPr>
              <w:spacing w:after="40" w:before="40"/>
            </w:pPr>
            <w:r/>
            <w:r>
              <w:rPr>
                <w:sz w:val="19"/>
              </w:rPr>
              <w:t>Open the aged list, read each ticket, decide, nudge the agent</w:t>
            </w:r>
          </w:p>
        </w:tc>
        <w:tc>
          <w:tcPr>
            <w:tcW w:type="dxa" w:w="3855"/>
          </w:tcPr>
          <w:p>
            <w:pPr>
              <w:spacing w:after="40" w:before="40"/>
            </w:pPr>
            <w:r/>
            <w:r>
              <w:rPr>
                <w:sz w:val="19"/>
              </w:rPr>
              <w:t>Open the digest or the board, work down a ranked list, most tickets need no action</w:t>
            </w:r>
          </w:p>
        </w:tc>
      </w:tr>
      <w:tr>
        <w:tc>
          <w:tcPr>
            <w:tcW w:type="dxa" w:w="1928"/>
          </w:tcPr>
          <w:p>
            <w:pPr>
              <w:spacing w:after="40" w:before="40"/>
            </w:pPr>
            <w:r/>
            <w:r>
              <w:rPr>
                <w:sz w:val="19"/>
              </w:rPr>
              <w:t>Lead — finding the real problems</w:t>
            </w:r>
          </w:p>
        </w:tc>
        <w:tc>
          <w:tcPr>
            <w:tcW w:type="dxa" w:w="3515"/>
          </w:tcPr>
          <w:p>
            <w:pPr>
              <w:spacing w:after="40" w:before="40"/>
            </w:pPr>
            <w:r/>
            <w:r>
              <w:rPr>
                <w:sz w:val="19"/>
              </w:rPr>
              <w:t>Spot them by reading everything</w:t>
            </w:r>
          </w:p>
        </w:tc>
        <w:tc>
          <w:tcPr>
            <w:tcW w:type="dxa" w:w="3855"/>
          </w:tcPr>
          <w:p>
            <w:pPr>
              <w:spacing w:after="40" w:before="40"/>
            </w:pPr>
            <w:r/>
            <w:r>
              <w:rPr>
                <w:sz w:val="19"/>
              </w:rPr>
              <w:t>They are at the top, flagged, with the reason stated</w:t>
            </w:r>
          </w:p>
        </w:tc>
      </w:tr>
      <w:tr>
        <w:tc>
          <w:tcPr>
            <w:tcW w:type="dxa" w:w="1928"/>
          </w:tcPr>
          <w:p>
            <w:pPr>
              <w:spacing w:after="40" w:before="40"/>
            </w:pPr>
            <w:r/>
            <w:r>
              <w:rPr>
                <w:sz w:val="19"/>
              </w:rPr>
              <w:t>Agent — first you hear of it</w:t>
            </w:r>
          </w:p>
        </w:tc>
        <w:tc>
          <w:tcPr>
            <w:tcW w:type="dxa" w:w="3515"/>
          </w:tcPr>
          <w:p>
            <w:pPr>
              <w:spacing w:after="40" w:before="40"/>
            </w:pPr>
            <w:r/>
            <w:r>
              <w:rPr>
                <w:sz w:val="19"/>
              </w:rPr>
              <w:t>A message from your lead</w:t>
            </w:r>
          </w:p>
        </w:tc>
        <w:tc>
          <w:tcPr>
            <w:tcW w:type="dxa" w:w="3855"/>
          </w:tcPr>
          <w:p>
            <w:pPr>
              <w:spacing w:after="40" w:before="40"/>
            </w:pPr>
            <w:r/>
            <w:r>
              <w:rPr>
                <w:sz w:val="19"/>
              </w:rPr>
              <w:t>Your own morning email, before your lead asks</w:t>
            </w:r>
          </w:p>
        </w:tc>
      </w:tr>
      <w:tr>
        <w:tc>
          <w:tcPr>
            <w:tcW w:type="dxa" w:w="1928"/>
          </w:tcPr>
          <w:p>
            <w:pPr>
              <w:spacing w:after="40" w:before="40"/>
            </w:pPr>
            <w:r/>
            <w:r>
              <w:rPr>
                <w:sz w:val="19"/>
              </w:rPr>
              <w:t>Agent — writing the update</w:t>
            </w:r>
          </w:p>
        </w:tc>
        <w:tc>
          <w:tcPr>
            <w:tcW w:type="dxa" w:w="3515"/>
          </w:tcPr>
          <w:p>
            <w:pPr>
              <w:spacing w:after="40" w:before="40"/>
            </w:pPr>
            <w:r/>
            <w:r>
              <w:rPr>
                <w:sz w:val="19"/>
              </w:rPr>
              <w:t>From scratch</w:t>
            </w:r>
          </w:p>
        </w:tc>
        <w:tc>
          <w:tcPr>
            <w:tcW w:type="dxa" w:w="3855"/>
          </w:tcPr>
          <w:p>
            <w:pPr>
              <w:spacing w:after="40" w:before="40"/>
            </w:pPr>
            <w:r/>
            <w:r>
              <w:rPr>
                <w:sz w:val="19"/>
              </w:rPr>
              <w:t>A draft you edit, if you want it</w:t>
            </w:r>
          </w:p>
        </w:tc>
      </w:tr>
      <w:tr>
        <w:tc>
          <w:tcPr>
            <w:tcW w:type="dxa" w:w="1928"/>
          </w:tcPr>
          <w:p>
            <w:pPr>
              <w:spacing w:after="40" w:before="40"/>
            </w:pPr>
            <w:r/>
            <w:r>
              <w:rPr>
                <w:sz w:val="19"/>
              </w:rPr>
              <w:t>Both — disagreeing</w:t>
            </w:r>
          </w:p>
        </w:tc>
        <w:tc>
          <w:tcPr>
            <w:tcW w:type="dxa" w:w="3515"/>
          </w:tcPr>
          <w:p>
            <w:pPr>
              <w:spacing w:after="40" w:before="40"/>
            </w:pPr>
            <w:r/>
            <w:r>
              <w:rPr>
                <w:sz w:val="19"/>
              </w:rPr>
              <w:t>A conversation that goes nowhere in particular</w:t>
            </w:r>
          </w:p>
        </w:tc>
        <w:tc>
          <w:tcPr>
            <w:tcW w:type="dxa" w:w="3855"/>
          </w:tcPr>
          <w:p>
            <w:pPr>
              <w:spacing w:after="40" w:before="40"/>
            </w:pPr>
            <w:r/>
            <w:r>
              <w:rPr>
                <w:sz w:val="19"/>
              </w:rPr>
              <w:t>One click that is recorded and measured, and changes the tool over time</w:t>
            </w:r>
          </w:p>
        </w:tc>
      </w:tr>
    </w:tbl>
    <w:p>
      <w:pPr>
        <w:spacing w:after="80"/>
      </w:pPr>
    </w:p>
    <w:p>
      <w:pPr>
        <w:pStyle w:val="Heading2"/>
      </w:pPr>
      <w:r>
        <w:t>1.4 Where to find it</w:t>
      </w:r>
    </w:p>
    <w:tbl>
      <w:tblPr>
        <w:tblStyle w:val="TableGrid"/>
        <w:tblW w:type="auto" w:w="0"/>
        <w:jc w:val="left"/>
        <w:tblLayout w:type="autofit"/>
        <w:tblLook w:firstColumn="1" w:firstRow="1" w:lastColumn="0" w:lastRow="0" w:noHBand="0" w:noVBand="1" w:val="04A0"/>
      </w:tblPr>
      <w:tblGrid>
        <w:gridCol w:w="4929"/>
        <w:gridCol w:w="4929"/>
      </w:tblGrid>
      <w:tr>
        <w:tc>
          <w:tcPr>
            <w:tcW w:type="dxa" w:w="2268"/>
            <w:shd w:val="clear" w:color="auto" w:fill="E8E8E3"/>
          </w:tcPr>
          <w:p>
            <w:pPr>
              <w:spacing w:after="40" w:before="40"/>
            </w:pPr>
            <w:r/>
            <w:r>
              <w:rPr>
                <w:b/>
                <w:sz w:val="19"/>
              </w:rPr>
              <w:t>Thing</w:t>
            </w:r>
          </w:p>
        </w:tc>
        <w:tc>
          <w:tcPr>
            <w:tcW w:type="dxa" w:w="7030"/>
            <w:shd w:val="clear" w:color="auto" w:fill="E8E8E3"/>
          </w:tcPr>
          <w:p>
            <w:pPr>
              <w:spacing w:after="40" w:before="40"/>
            </w:pPr>
            <w:r/>
            <w:r>
              <w:rPr>
                <w:b/>
                <w:sz w:val="19"/>
              </w:rPr>
              <w:t>Where</w:t>
            </w:r>
          </w:p>
        </w:tc>
      </w:tr>
      <w:tr>
        <w:tc>
          <w:tcPr>
            <w:tcW w:type="dxa" w:w="2268"/>
          </w:tcPr>
          <w:p>
            <w:pPr>
              <w:spacing w:after="40" w:before="40"/>
            </w:pPr>
            <w:r/>
            <w:r>
              <w:rPr>
                <w:sz w:val="19"/>
              </w:rPr>
              <w:t>The board (all of it)</w:t>
            </w:r>
          </w:p>
        </w:tc>
        <w:tc>
          <w:tcPr>
            <w:tcW w:type="dxa" w:w="7030"/>
          </w:tcPr>
          <w:p>
            <w:pPr>
              <w:spacing w:after="40" w:before="40"/>
            </w:pPr>
            <w:r/>
            <w:r>
              <w:rPr>
                <w:sz w:val="19"/>
              </w:rPr>
              <w:t>https://&lt;your-server&gt;:8444 — sign in with the account your administrator created</w:t>
            </w:r>
          </w:p>
        </w:tc>
      </w:tr>
      <w:tr>
        <w:tc>
          <w:tcPr>
            <w:tcW w:type="dxa" w:w="2268"/>
          </w:tcPr>
          <w:p>
            <w:pPr>
              <w:spacing w:after="40" w:before="40"/>
            </w:pPr>
            <w:r/>
            <w:r>
              <w:rPr>
                <w:sz w:val="19"/>
              </w:rPr>
              <w:t>Your daily email</w:t>
            </w:r>
          </w:p>
        </w:tc>
        <w:tc>
          <w:tcPr>
            <w:tcW w:type="dxa" w:w="7030"/>
          </w:tcPr>
          <w:p>
            <w:pPr>
              <w:spacing w:after="40" w:before="40"/>
            </w:pPr>
            <w:r/>
            <w:r>
              <w:rPr>
                <w:sz w:val="19"/>
              </w:rPr>
              <w:t>Arrives on weekday mornings from the Aged Ticket Advisor address</w:t>
            </w:r>
          </w:p>
        </w:tc>
      </w:tr>
      <w:tr>
        <w:tc>
          <w:tcPr>
            <w:tcW w:type="dxa" w:w="2268"/>
          </w:tcPr>
          <w:p>
            <w:pPr>
              <w:spacing w:after="40" w:before="40"/>
            </w:pPr>
            <w:r/>
            <w:r>
              <w:rPr>
                <w:sz w:val="19"/>
              </w:rPr>
              <w:t>A specific ticket</w:t>
            </w:r>
          </w:p>
        </w:tc>
        <w:tc>
          <w:tcPr>
            <w:tcW w:type="dxa" w:w="7030"/>
          </w:tcPr>
          <w:p>
            <w:pPr>
              <w:spacing w:after="40" w:before="40"/>
            </w:pPr>
            <w:r/>
            <w:r>
              <w:rPr>
                <w:sz w:val="19"/>
              </w:rPr>
              <w:t>Click the ticket number in any email, or go to /board and find it</w:t>
            </w:r>
          </w:p>
        </w:tc>
      </w:tr>
      <w:tr>
        <w:tc>
          <w:tcPr>
            <w:tcW w:type="dxa" w:w="2268"/>
          </w:tcPr>
          <w:p>
            <w:pPr>
              <w:spacing w:after="40" w:before="40"/>
            </w:pPr>
            <w:r/>
            <w:r>
              <w:rPr>
                <w:sz w:val="19"/>
              </w:rPr>
              <w:t>Your own queue</w:t>
            </w:r>
          </w:p>
        </w:tc>
        <w:tc>
          <w:tcPr>
            <w:tcW w:type="dxa" w:w="7030"/>
          </w:tcPr>
          <w:p>
            <w:pPr>
              <w:spacing w:after="40" w:before="40"/>
            </w:pPr>
            <w:r/>
            <w:r>
              <w:rPr>
                <w:sz w:val="19"/>
              </w:rPr>
              <w:t>On the board, choose your name in the Agent filter</w:t>
            </w:r>
          </w:p>
        </w:tc>
      </w:tr>
    </w:tbl>
    <w:p>
      <w:pPr>
        <w:spacing w:after="80"/>
      </w:pPr>
    </w:p>
    <w:p>
      <w:pPr>
        <w:pStyle w:val="Heading2"/>
      </w:pPr>
      <w:r>
        <w:t>1.5 A note on the trial period</w:t>
      </w:r>
    </w:p>
    <w:p>
      <w:r>
        <w:rPr>
          <w:b w:val="0"/>
          <w:i w:val="0"/>
          <w:sz w:val="21"/>
        </w:rPr>
        <w:t>When the tool is first switched on it runs in what the team calls shadow mode. Everything works — the board, the scoring, the suggestions — but no emails go out. The point is to let leads check the suggestions against their own judgement for a couple of weeks before anyone relies on them.</w:t>
      </w:r>
    </w:p>
    <w:p>
      <w:r>
        <w:rPr>
          <w:b w:val="0"/>
          <w:i w:val="0"/>
          <w:sz w:val="21"/>
        </w:rPr>
        <w:t>If you are reading this during that period, the single most useful thing you can do is record a verdict on each ticket you look at. Section 5.4 explains how and why.</w:t>
      </w:r>
    </w:p>
    <w:p>
      <w:r>
        <w:br w:type="page"/>
      </w:r>
    </w:p>
    <w:p>
      <w:pPr>
        <w:pStyle w:val="Heading1"/>
      </w:pPr>
      <w:r>
        <w:t>2. The ideas behind the numbers</w:t>
      </w:r>
    </w:p>
    <w:p>
      <w:r>
        <w:rPr>
          <w:b w:val="0"/>
          <w:i w:val="0"/>
          <w:sz w:val="21"/>
        </w:rPr>
        <w:t>There are four ideas. Once they make sense, everything on the screen makes sense.</w:t>
      </w:r>
    </w:p>
    <w:p>
      <w:pPr>
        <w:pStyle w:val="Heading2"/>
      </w:pPr>
      <w:r>
        <w:t>2.1 Age and idle time are different things</w:t>
      </w:r>
    </w:p>
    <w:p>
      <w:r>
        <w:rPr>
          <w:b w:val="0"/>
          <w:i w:val="0"/>
          <w:sz w:val="21"/>
        </w:rPr>
        <w:t>Age is how long the incident has existed. Idle time is how long it has been since anyone on your team acted on it.</w:t>
      </w: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Idle time is the figure that matters.  </w:t>
      </w:r>
      <w:r>
        <w:rPr>
          <w:color w:val="52514E"/>
          <w:sz w:val="20"/>
        </w:rPr>
        <w:t>An incident can be three weeks old and entirely healthy — a hardware order with a confirmed delivery date, for example. An incident eight days old with no action by your team for six of them is a different situation entirely.</w:t>
      </w:r>
    </w:p>
    <w:p>
      <w:pPr>
        <w:pStyle w:val="Heading3"/>
      </w:pPr>
      <w:r>
        <w:t>How these are displayed</w:t>
      </w:r>
    </w:p>
    <w:p>
      <w:r>
        <w:rPr>
          <w:b w:val="0"/>
          <w:i w:val="0"/>
          <w:sz w:val="21"/>
        </w:rPr>
        <w:t>Both are shown as an exact elapsed duration rather than a rounded number of days, so a recently worked incident is distinguishable from one last touched this morning. Units that are zero are omitted.</w:t>
      </w:r>
    </w:p>
    <w:tbl>
      <w:tblPr>
        <w:tblStyle w:val="TableGrid"/>
        <w:tblW w:type="auto" w:w="0"/>
        <w:jc w:val="left"/>
        <w:tblLayout w:type="autofit"/>
        <w:tblLook w:firstColumn="1" w:firstRow="1" w:lastColumn="0" w:lastRow="0" w:noHBand="0" w:noVBand="1" w:val="04A0"/>
      </w:tblPr>
      <w:tblGrid>
        <w:gridCol w:w="4929"/>
        <w:gridCol w:w="4929"/>
      </w:tblGrid>
      <w:tr>
        <w:tc>
          <w:tcPr>
            <w:tcW w:type="dxa" w:w="2494"/>
            <w:shd w:val="clear" w:color="auto" w:fill="E8E8E3"/>
          </w:tcPr>
          <w:p>
            <w:pPr>
              <w:spacing w:after="40" w:before="40"/>
            </w:pPr>
            <w:r/>
            <w:r>
              <w:rPr>
                <w:b/>
                <w:sz w:val="19"/>
              </w:rPr>
              <w:t>Displayed as</w:t>
            </w:r>
          </w:p>
        </w:tc>
        <w:tc>
          <w:tcPr>
            <w:tcW w:type="dxa" w:w="6576"/>
            <w:shd w:val="clear" w:color="auto" w:fill="E8E8E3"/>
          </w:tcPr>
          <w:p>
            <w:pPr>
              <w:spacing w:after="40" w:before="40"/>
            </w:pPr>
            <w:r/>
            <w:r>
              <w:rPr>
                <w:b/>
                <w:sz w:val="19"/>
              </w:rPr>
              <w:t>Means</w:t>
            </w:r>
          </w:p>
        </w:tc>
      </w:tr>
      <w:tr>
        <w:tc>
          <w:tcPr>
            <w:tcW w:type="dxa" w:w="2494"/>
          </w:tcPr>
          <w:p>
            <w:pPr>
              <w:spacing w:after="40" w:before="40"/>
            </w:pPr>
            <w:r/>
            <w:r>
              <w:rPr>
                <w:sz w:val="19"/>
              </w:rPr>
              <w:t>10 Days 12 Hrs 30 Mins</w:t>
            </w:r>
          </w:p>
        </w:tc>
        <w:tc>
          <w:tcPr>
            <w:tcW w:type="dxa" w:w="6576"/>
          </w:tcPr>
          <w:p>
            <w:pPr>
              <w:spacing w:after="40" w:before="40"/>
            </w:pPr>
            <w:r/>
            <w:r>
              <w:rPr>
                <w:sz w:val="19"/>
              </w:rPr>
              <w:t>Ten and a half days, to the minute</w:t>
            </w:r>
          </w:p>
        </w:tc>
      </w:tr>
      <w:tr>
        <w:tc>
          <w:tcPr>
            <w:tcW w:type="dxa" w:w="2494"/>
          </w:tcPr>
          <w:p>
            <w:pPr>
              <w:spacing w:after="40" w:before="40"/>
            </w:pPr>
            <w:r/>
            <w:r>
              <w:rPr>
                <w:sz w:val="19"/>
              </w:rPr>
              <w:t>23 Hrs 45 Mins</w:t>
            </w:r>
          </w:p>
        </w:tc>
        <w:tc>
          <w:tcPr>
            <w:tcW w:type="dxa" w:w="6576"/>
          </w:tcPr>
          <w:p>
            <w:pPr>
              <w:spacing w:after="40" w:before="40"/>
            </w:pPr>
            <w:r/>
            <w:r>
              <w:rPr>
                <w:sz w:val="19"/>
              </w:rPr>
              <w:t>Under a day — would previously have read "1.0d"</w:t>
            </w:r>
          </w:p>
        </w:tc>
      </w:tr>
      <w:tr>
        <w:tc>
          <w:tcPr>
            <w:tcW w:type="dxa" w:w="2494"/>
          </w:tcPr>
          <w:p>
            <w:pPr>
              <w:spacing w:after="40" w:before="40"/>
            </w:pPr>
            <w:r/>
            <w:r>
              <w:rPr>
                <w:sz w:val="19"/>
              </w:rPr>
              <w:t>30 Mins</w:t>
            </w:r>
          </w:p>
        </w:tc>
        <w:tc>
          <w:tcPr>
            <w:tcW w:type="dxa" w:w="6576"/>
          </w:tcPr>
          <w:p>
            <w:pPr>
              <w:spacing w:after="40" w:before="40"/>
            </w:pPr>
            <w:r/>
            <w:r>
              <w:rPr>
                <w:sz w:val="19"/>
              </w:rPr>
              <w:t>Half an hour — would previously have read "0.0d"</w:t>
            </w:r>
          </w:p>
        </w:tc>
      </w:tr>
      <w:tr>
        <w:tc>
          <w:tcPr>
            <w:tcW w:type="dxa" w:w="2494"/>
          </w:tcPr>
          <w:p>
            <w:pPr>
              <w:spacing w:after="40" w:before="40"/>
            </w:pPr>
            <w:r/>
            <w:r>
              <w:rPr>
                <w:sz w:val="19"/>
              </w:rPr>
              <w:t>10 Days</w:t>
            </w:r>
          </w:p>
        </w:tc>
        <w:tc>
          <w:tcPr>
            <w:tcW w:type="dxa" w:w="6576"/>
          </w:tcPr>
          <w:p>
            <w:pPr>
              <w:spacing w:after="40" w:before="40"/>
            </w:pPr>
            <w:r/>
            <w:r>
              <w:rPr>
                <w:sz w:val="19"/>
              </w:rPr>
              <w:t>Exactly ten days; the zero hours and minutes are not padded</w:t>
            </w:r>
          </w:p>
        </w:tc>
      </w:tr>
      <w:tr>
        <w:tc>
          <w:tcPr>
            <w:tcW w:type="dxa" w:w="2494"/>
          </w:tcPr>
          <w:p>
            <w:pPr>
              <w:spacing w:after="40" w:before="40"/>
            </w:pPr>
            <w:r/>
            <w:r>
              <w:rPr>
                <w:sz w:val="19"/>
              </w:rPr>
              <w:t>0 Mins</w:t>
            </w:r>
          </w:p>
        </w:tc>
        <w:tc>
          <w:tcPr>
            <w:tcW w:type="dxa" w:w="6576"/>
          </w:tcPr>
          <w:p>
            <w:pPr>
              <w:spacing w:after="40" w:before="40"/>
            </w:pPr>
            <w:r/>
            <w:r>
              <w:rPr>
                <w:sz w:val="19"/>
              </w:rPr>
              <w:t>Acted on within the last minute</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All times are recorded in UTC.  </w:t>
      </w:r>
      <w:r>
        <w:rPr>
          <w:color w:val="52514E"/>
          <w:sz w:val="20"/>
        </w:rPr>
        <w:t>Durations are elapsed time, so they read the same wherever you are. Absolute timestamps shown alongside them are UTC, which may differ from the time ServiceNow displays to you if your own profile is set to a local timezone.</w:t>
      </w:r>
    </w:p>
    <w:p>
      <w:r>
        <w:rPr>
          <w:b w:val="0"/>
          <w:i w:val="0"/>
          <w:sz w:val="21"/>
        </w:rPr>
        <w:t>What counts as "somebody actually did something":</w:t>
      </w:r>
    </w:p>
    <w:tbl>
      <w:tblPr>
        <w:tblStyle w:val="TableGrid"/>
        <w:tblW w:type="auto" w:w="0"/>
        <w:jc w:val="left"/>
        <w:tblLayout w:type="autofit"/>
        <w:tblLook w:firstColumn="1" w:firstRow="1" w:lastColumn="0" w:lastRow="0" w:noHBand="0" w:noVBand="1" w:val="04A0"/>
      </w:tblPr>
      <w:tblGrid>
        <w:gridCol w:w="4929"/>
        <w:gridCol w:w="4929"/>
      </w:tblGrid>
      <w:tr>
        <w:tc>
          <w:tcPr>
            <w:tcW w:type="dxa" w:w="4649"/>
            <w:shd w:val="clear" w:color="auto" w:fill="E8E8E3"/>
          </w:tcPr>
          <w:p>
            <w:pPr>
              <w:spacing w:after="40" w:before="40"/>
            </w:pPr>
            <w:r/>
            <w:r>
              <w:rPr>
                <w:b/>
                <w:sz w:val="19"/>
              </w:rPr>
              <w:t>Counts as activity</w:t>
            </w:r>
          </w:p>
        </w:tc>
        <w:tc>
          <w:tcPr>
            <w:tcW w:type="dxa" w:w="4649"/>
            <w:shd w:val="clear" w:color="auto" w:fill="E8E8E3"/>
          </w:tcPr>
          <w:p>
            <w:pPr>
              <w:spacing w:after="40" w:before="40"/>
            </w:pPr>
            <w:r/>
            <w:r>
              <w:rPr>
                <w:b/>
                <w:sz w:val="19"/>
              </w:rPr>
              <w:t>Does NOT count</w:t>
            </w:r>
          </w:p>
        </w:tc>
      </w:tr>
      <w:tr>
        <w:tc>
          <w:tcPr>
            <w:tcW w:type="dxa" w:w="4649"/>
          </w:tcPr>
          <w:p>
            <w:pPr>
              <w:spacing w:after="40" w:before="40"/>
            </w:pPr>
            <w:r/>
            <w:r>
              <w:rPr>
                <w:sz w:val="19"/>
              </w:rPr>
              <w:t>A work note or comment from an agent</w:t>
            </w:r>
          </w:p>
        </w:tc>
        <w:tc>
          <w:tcPr>
            <w:tcW w:type="dxa" w:w="4649"/>
          </w:tcPr>
          <w:p>
            <w:pPr>
              <w:spacing w:after="40" w:before="40"/>
            </w:pPr>
            <w:r/>
            <w:r>
              <w:rPr>
                <w:sz w:val="19"/>
              </w:rPr>
              <w:t>An automatic system update</w:t>
            </w:r>
          </w:p>
        </w:tc>
      </w:tr>
      <w:tr>
        <w:tc>
          <w:tcPr>
            <w:tcW w:type="dxa" w:w="4649"/>
          </w:tcPr>
          <w:p>
            <w:pPr>
              <w:spacing w:after="40" w:before="40"/>
            </w:pPr>
            <w:r/>
            <w:r>
              <w:rPr>
                <w:sz w:val="19"/>
              </w:rPr>
              <w:t>Changing the state, priority or hold reason</w:t>
            </w:r>
          </w:p>
        </w:tc>
        <w:tc>
          <w:tcPr>
            <w:tcW w:type="dxa" w:w="4649"/>
          </w:tcPr>
          <w:p>
            <w:pPr>
              <w:spacing w:after="40" w:before="40"/>
            </w:pPr>
            <w:r/>
            <w:r>
              <w:rPr>
                <w:sz w:val="19"/>
              </w:rPr>
              <w:t>An SLA timer recalculating</w:t>
            </w:r>
          </w:p>
        </w:tc>
      </w:tr>
      <w:tr>
        <w:tc>
          <w:tcPr>
            <w:tcW w:type="dxa" w:w="4649"/>
          </w:tcPr>
          <w:p>
            <w:pPr>
              <w:spacing w:after="40" w:before="40"/>
            </w:pPr>
            <w:r/>
            <w:r>
              <w:rPr>
                <w:sz w:val="19"/>
              </w:rPr>
              <w:t>Assigning or reassigning the ticket</w:t>
            </w:r>
          </w:p>
        </w:tc>
        <w:tc>
          <w:tcPr>
            <w:tcW w:type="dxa" w:w="4649"/>
          </w:tcPr>
          <w:p>
            <w:pPr>
              <w:spacing w:after="40" w:before="40"/>
            </w:pPr>
            <w:r/>
            <w:r>
              <w:rPr>
                <w:sz w:val="19"/>
              </w:rPr>
              <w:t>An integration account touching the record</w:t>
            </w:r>
          </w:p>
        </w:tc>
      </w:tr>
      <w:tr>
        <w:tc>
          <w:tcPr>
            <w:tcW w:type="dxa" w:w="4649"/>
          </w:tcPr>
          <w:p>
            <w:pPr>
              <w:spacing w:after="40" w:before="40"/>
            </w:pPr>
            <w:r/>
            <w:r>
              <w:rPr>
                <w:sz w:val="19"/>
              </w:rPr>
              <w:t>Attaching a knowledge article</w:t>
            </w:r>
          </w:p>
        </w:tc>
        <w:tc>
          <w:tcPr>
            <w:tcW w:type="dxa" w:w="4649"/>
          </w:tcPr>
          <w:p>
            <w:pPr>
              <w:spacing w:after="40" w:before="40"/>
            </w:pPr>
            <w:r/>
            <w:r>
              <w:rPr>
                <w:sz w:val="19"/>
              </w:rPr>
              <w:t>The caller adding a comment (that is caller activity, not activity by your team — and it usually means a response is now owed)</w:t>
            </w:r>
          </w:p>
        </w:tc>
      </w:tr>
    </w:tbl>
    <w:p>
      <w:pPr>
        <w:spacing w:after="80"/>
      </w:pPr>
    </w:p>
    <w:p>
      <w:pPr>
        <w:pStyle w:val="Heading2"/>
      </w:pPr>
      <w:r>
        <w:t>2.2 Pending action owner — the key field</w:t>
      </w:r>
    </w:p>
    <w:p>
      <w:r>
        <w:rPr>
          <w:b w:val="0"/>
          <w:i w:val="0"/>
          <w:sz w:val="21"/>
        </w:rPr>
        <w:t>Every aged incident is assigned a Pending Action Owner. This answers the question that matters most to a lead: is this incident awaiting our action, or is it legitimately awaiting another party?</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644"/>
            <w:shd w:val="clear" w:color="auto" w:fill="E8E8E3"/>
          </w:tcPr>
          <w:p>
            <w:pPr>
              <w:spacing w:after="40" w:before="40"/>
            </w:pPr>
            <w:r/>
            <w:r>
              <w:rPr>
                <w:b/>
                <w:sz w:val="19"/>
              </w:rPr>
              <w:t>Pending action owner</w:t>
            </w:r>
          </w:p>
        </w:tc>
        <w:tc>
          <w:tcPr>
            <w:tcW w:type="dxa" w:w="5159"/>
            <w:shd w:val="clear" w:color="auto" w:fill="E8E8E3"/>
          </w:tcPr>
          <w:p>
            <w:pPr>
              <w:spacing w:after="40" w:before="40"/>
            </w:pPr>
            <w:r/>
            <w:r>
              <w:rPr>
                <w:b/>
                <w:sz w:val="19"/>
              </w:rPr>
              <w:t>What it means</w:t>
            </w:r>
          </w:p>
        </w:tc>
        <w:tc>
          <w:tcPr>
            <w:tcW w:type="dxa" w:w="2494"/>
            <w:shd w:val="clear" w:color="auto" w:fill="E8E8E3"/>
          </w:tcPr>
          <w:p>
            <w:pPr>
              <w:spacing w:after="40" w:before="40"/>
            </w:pPr>
            <w:r/>
            <w:r>
              <w:rPr>
                <w:b/>
                <w:sz w:val="19"/>
              </w:rPr>
              <w:t>Action required from us?</w:t>
            </w:r>
          </w:p>
        </w:tc>
      </w:tr>
      <w:tr>
        <w:tc>
          <w:tcPr>
            <w:tcW w:type="dxa" w:w="1644"/>
          </w:tcPr>
          <w:p>
            <w:pPr>
              <w:spacing w:after="40" w:before="40"/>
            </w:pPr>
            <w:r/>
            <w:r>
              <w:rPr>
                <w:sz w:val="19"/>
              </w:rPr>
              <w:t>Assigned team</w:t>
            </w:r>
          </w:p>
        </w:tc>
        <w:tc>
          <w:tcPr>
            <w:tcW w:type="dxa" w:w="5159"/>
          </w:tcPr>
          <w:p>
            <w:pPr>
              <w:spacing w:after="40" w:before="40"/>
            </w:pPr>
            <w:r/>
            <w:r>
              <w:rPr>
                <w:sz w:val="19"/>
              </w:rPr>
              <w:t>No external party is blocking the incident. The next action is owed by whichever team the incident is assigned to</w:t>
            </w:r>
          </w:p>
        </w:tc>
        <w:tc>
          <w:tcPr>
            <w:tcW w:type="dxa" w:w="2494"/>
          </w:tcPr>
          <w:p>
            <w:pPr>
              <w:spacing w:after="40" w:before="40"/>
            </w:pPr>
            <w:r/>
            <w:r>
              <w:rPr>
                <w:sz w:val="19"/>
              </w:rPr>
              <w:t>Yes — act</w:t>
            </w:r>
          </w:p>
        </w:tc>
      </w:tr>
      <w:tr>
        <w:tc>
          <w:tcPr>
            <w:tcW w:type="dxa" w:w="1644"/>
          </w:tcPr>
          <w:p>
            <w:pPr>
              <w:spacing w:after="40" w:before="40"/>
            </w:pPr>
            <w:r/>
            <w:r>
              <w:rPr>
                <w:sz w:val="19"/>
              </w:rPr>
              <w:t>Caller</w:t>
            </w:r>
          </w:p>
        </w:tc>
        <w:tc>
          <w:tcPr>
            <w:tcW w:type="dxa" w:w="5159"/>
          </w:tcPr>
          <w:p>
            <w:pPr>
              <w:spacing w:after="40" w:before="40"/>
            </w:pPr>
            <w:r/>
            <w:r>
              <w:rPr>
                <w:sz w:val="19"/>
              </w:rPr>
              <w:t>Awaiting information or confirmation from the caller</w:t>
            </w:r>
          </w:p>
        </w:tc>
        <w:tc>
          <w:tcPr>
            <w:tcW w:type="dxa" w:w="2494"/>
          </w:tcPr>
          <w:p>
            <w:pPr>
              <w:spacing w:after="40" w:before="40"/>
            </w:pPr>
            <w:r/>
            <w:r>
              <w:rPr>
                <w:sz w:val="19"/>
              </w:rPr>
              <w:t>No — but see below</w:t>
            </w:r>
          </w:p>
        </w:tc>
      </w:tr>
      <w:tr>
        <w:tc>
          <w:tcPr>
            <w:tcW w:type="dxa" w:w="1644"/>
          </w:tcPr>
          <w:p>
            <w:pPr>
              <w:spacing w:after="40" w:before="40"/>
            </w:pPr>
            <w:r/>
            <w:r>
              <w:rPr>
                <w:sz w:val="19"/>
              </w:rPr>
              <w:t>Vendor</w:t>
            </w:r>
          </w:p>
        </w:tc>
        <w:tc>
          <w:tcPr>
            <w:tcW w:type="dxa" w:w="5159"/>
          </w:tcPr>
          <w:p>
            <w:pPr>
              <w:spacing w:after="40" w:before="40"/>
            </w:pPr>
            <w:r/>
            <w:r>
              <w:rPr>
                <w:sz w:val="19"/>
              </w:rPr>
              <w:t>A third party is responsible for the delay</w:t>
            </w:r>
          </w:p>
        </w:tc>
        <w:tc>
          <w:tcPr>
            <w:tcW w:type="dxa" w:w="2494"/>
          </w:tcPr>
          <w:p>
            <w:pPr>
              <w:spacing w:after="40" w:before="40"/>
            </w:pPr>
            <w:r/>
            <w:r>
              <w:rPr>
                <w:sz w:val="19"/>
              </w:rPr>
              <w:t>No — but escalate if the target has been exceeded</w:t>
            </w:r>
          </w:p>
        </w:tc>
      </w:tr>
      <w:tr>
        <w:tc>
          <w:tcPr>
            <w:tcW w:type="dxa" w:w="1644"/>
          </w:tcPr>
          <w:p>
            <w:pPr>
              <w:spacing w:after="40" w:before="40"/>
            </w:pPr>
            <w:r/>
            <w:r>
              <w:rPr>
                <w:sz w:val="19"/>
              </w:rPr>
              <w:t>Change</w:t>
            </w:r>
          </w:p>
        </w:tc>
        <w:tc>
          <w:tcPr>
            <w:tcW w:type="dxa" w:w="5159"/>
          </w:tcPr>
          <w:p>
            <w:pPr>
              <w:spacing w:after="40" w:before="40"/>
            </w:pPr>
            <w:r/>
            <w:r>
              <w:rPr>
                <w:sz w:val="19"/>
              </w:rPr>
              <w:t>Awaiting a change request</w:t>
            </w:r>
          </w:p>
        </w:tc>
        <w:tc>
          <w:tcPr>
            <w:tcW w:type="dxa" w:w="2494"/>
          </w:tcPr>
          <w:p>
            <w:pPr>
              <w:spacing w:after="40" w:before="40"/>
            </w:pPr>
            <w:r/>
            <w:r>
              <w:rPr>
                <w:sz w:val="19"/>
              </w:rPr>
              <w:t>No</w:t>
            </w:r>
          </w:p>
        </w:tc>
      </w:tr>
      <w:tr>
        <w:tc>
          <w:tcPr>
            <w:tcW w:type="dxa" w:w="1644"/>
          </w:tcPr>
          <w:p>
            <w:pPr>
              <w:spacing w:after="40" w:before="40"/>
            </w:pPr>
            <w:r/>
            <w:r>
              <w:rPr>
                <w:sz w:val="19"/>
              </w:rPr>
              <w:t>Problem</w:t>
            </w:r>
          </w:p>
        </w:tc>
        <w:tc>
          <w:tcPr>
            <w:tcW w:type="dxa" w:w="5159"/>
          </w:tcPr>
          <w:p>
            <w:pPr>
              <w:spacing w:after="40" w:before="40"/>
            </w:pPr>
            <w:r/>
            <w:r>
              <w:rPr>
                <w:sz w:val="19"/>
              </w:rPr>
              <w:t>Awaiting a problem record</w:t>
            </w:r>
          </w:p>
        </w:tc>
        <w:tc>
          <w:tcPr>
            <w:tcW w:type="dxa" w:w="2494"/>
          </w:tcPr>
          <w:p>
            <w:pPr>
              <w:spacing w:after="40" w:before="40"/>
            </w:pPr>
            <w:r/>
            <w:r>
              <w:rPr>
                <w:sz w:val="19"/>
              </w:rPr>
              <w:t>No</w:t>
            </w:r>
          </w:p>
        </w:tc>
      </w:tr>
      <w:tr>
        <w:tc>
          <w:tcPr>
            <w:tcW w:type="dxa" w:w="1644"/>
          </w:tcPr>
          <w:p>
            <w:pPr>
              <w:spacing w:after="40" w:before="40"/>
            </w:pPr>
            <w:r/>
            <w:r>
              <w:rPr>
                <w:sz w:val="19"/>
              </w:rPr>
              <w:t>Approval</w:t>
            </w:r>
          </w:p>
        </w:tc>
        <w:tc>
          <w:tcPr>
            <w:tcW w:type="dxa" w:w="5159"/>
          </w:tcPr>
          <w:p>
            <w:pPr>
              <w:spacing w:after="40" w:before="40"/>
            </w:pPr>
            <w:r/>
            <w:r>
              <w:rPr>
                <w:sz w:val="19"/>
              </w:rPr>
              <w:t>Awaiting an approval decision</w:t>
            </w:r>
          </w:p>
        </w:tc>
        <w:tc>
          <w:tcPr>
            <w:tcW w:type="dxa" w:w="2494"/>
          </w:tcPr>
          <w:p>
            <w:pPr>
              <w:spacing w:after="40" w:before="40"/>
            </w:pPr>
            <w:r/>
            <w:r>
              <w:rPr>
                <w:sz w:val="19"/>
              </w:rPr>
              <w:t>No</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006300"/>
          <w:sz w:val="20"/>
        </w:rPr>
        <w:t xml:space="preserve">Why this saves the most time.  </w:t>
      </w:r>
      <w:r>
        <w:rPr>
          <w:color w:val="52514E"/>
          <w:sz w:val="20"/>
        </w:rPr>
        <w:t>A list of forty aged tickets is daunting. "Nine of these are ours and thirty-one are legitimately waiting on somebody else" is a morning's work you can actually do. That single reframing is the biggest thing the tool gives you.</w:t>
      </w:r>
    </w:p>
    <w:p>
      <w:pPr>
        <w:pStyle w:val="Heading3"/>
      </w:pPr>
      <w:r>
        <w:t>Two cases where the tool overrules the ticket</w:t>
      </w:r>
    </w:p>
    <w:p>
      <w:r>
        <w:rPr>
          <w:b w:val="0"/>
          <w:i w:val="0"/>
          <w:sz w:val="21"/>
        </w:rPr>
        <w:t>The Blocked by value is not simply copied from the hold reason. There are two situations where the ticket says one thing and reality says another:</w:t>
      </w:r>
    </w:p>
    <w:tbl>
      <w:tblPr>
        <w:tblStyle w:val="TableGrid"/>
        <w:tblW w:type="auto" w:w="0"/>
        <w:jc w:val="left"/>
        <w:tblLayout w:type="autofit"/>
        <w:tblLook w:firstColumn="1" w:firstRow="1" w:lastColumn="0" w:lastRow="0" w:noHBand="0" w:noVBand="1" w:val="04A0"/>
      </w:tblPr>
      <w:tblGrid>
        <w:gridCol w:w="2465"/>
        <w:gridCol w:w="2465"/>
        <w:gridCol w:w="2465"/>
        <w:gridCol w:w="2465"/>
      </w:tblGrid>
      <w:tr>
        <w:tc>
          <w:tcPr>
            <w:tcW w:type="dxa" w:w="1928"/>
            <w:shd w:val="clear" w:color="auto" w:fill="E8E8E3"/>
          </w:tcPr>
          <w:p>
            <w:pPr>
              <w:spacing w:after="40" w:before="40"/>
            </w:pPr>
            <w:r/>
            <w:r>
              <w:rPr>
                <w:b/>
                <w:sz w:val="19"/>
              </w:rPr>
              <w:t>Situation</w:t>
            </w:r>
          </w:p>
        </w:tc>
        <w:tc>
          <w:tcPr>
            <w:tcW w:type="dxa" w:w="2268"/>
            <w:shd w:val="clear" w:color="auto" w:fill="E8E8E3"/>
          </w:tcPr>
          <w:p>
            <w:pPr>
              <w:spacing w:after="40" w:before="40"/>
            </w:pPr>
            <w:r/>
            <w:r>
              <w:rPr>
                <w:b/>
                <w:sz w:val="19"/>
              </w:rPr>
              <w:t>What the ticket says</w:t>
            </w:r>
          </w:p>
        </w:tc>
        <w:tc>
          <w:tcPr>
            <w:tcW w:type="dxa" w:w="1701"/>
            <w:shd w:val="clear" w:color="auto" w:fill="E8E8E3"/>
          </w:tcPr>
          <w:p>
            <w:pPr>
              <w:spacing w:after="40" w:before="40"/>
            </w:pPr>
            <w:r/>
            <w:r>
              <w:rPr>
                <w:b/>
                <w:sz w:val="19"/>
              </w:rPr>
              <w:t>What the tool says</w:t>
            </w:r>
          </w:p>
        </w:tc>
        <w:tc>
          <w:tcPr>
            <w:tcW w:type="dxa" w:w="3402"/>
            <w:shd w:val="clear" w:color="auto" w:fill="E8E8E3"/>
          </w:tcPr>
          <w:p>
            <w:pPr>
              <w:spacing w:after="40" w:before="40"/>
            </w:pPr>
            <w:r/>
            <w:r>
              <w:rPr>
                <w:b/>
                <w:sz w:val="19"/>
              </w:rPr>
              <w:t>Why</w:t>
            </w:r>
          </w:p>
        </w:tc>
      </w:tr>
      <w:tr>
        <w:tc>
          <w:tcPr>
            <w:tcW w:type="dxa" w:w="1928"/>
          </w:tcPr>
          <w:p>
            <w:pPr>
              <w:spacing w:after="40" w:before="40"/>
            </w:pPr>
            <w:r/>
            <w:r>
              <w:rPr>
                <w:sz w:val="19"/>
              </w:rPr>
              <w:t>The caller has replied</w:t>
            </w:r>
          </w:p>
        </w:tc>
        <w:tc>
          <w:tcPr>
            <w:tcW w:type="dxa" w:w="2268"/>
          </w:tcPr>
          <w:p>
            <w:pPr>
              <w:spacing w:after="40" w:before="40"/>
            </w:pPr>
            <w:r/>
            <w:r>
              <w:rPr>
                <w:sz w:val="19"/>
              </w:rPr>
              <w:t>On Hold — Awaiting Caller</w:t>
            </w:r>
          </w:p>
        </w:tc>
        <w:tc>
          <w:tcPr>
            <w:tcW w:type="dxa" w:w="1701"/>
          </w:tcPr>
          <w:p>
            <w:pPr>
              <w:spacing w:after="40" w:before="40"/>
            </w:pPr>
            <w:r/>
            <w:r>
              <w:rPr>
                <w:sz w:val="19"/>
              </w:rPr>
              <w:t>Blocked by: Us</w:t>
            </w:r>
          </w:p>
        </w:tc>
        <w:tc>
          <w:tcPr>
            <w:tcW w:type="dxa" w:w="3402"/>
          </w:tcPr>
          <w:p>
            <w:pPr>
              <w:spacing w:after="40" w:before="40"/>
            </w:pPr>
            <w:r/>
            <w:r>
              <w:rPr>
                <w:sz w:val="19"/>
              </w:rPr>
              <w:t>They answered. The hold reason is just stale. We owe them a response</w:t>
            </w:r>
          </w:p>
        </w:tc>
      </w:tr>
      <w:tr>
        <w:tc>
          <w:tcPr>
            <w:tcW w:type="dxa" w:w="1928"/>
          </w:tcPr>
          <w:p>
            <w:pPr>
              <w:spacing w:after="40" w:before="40"/>
            </w:pPr>
            <w:r/>
            <w:r>
              <w:rPr>
                <w:sz w:val="19"/>
              </w:rPr>
              <w:t>The blocker has closed</w:t>
            </w:r>
          </w:p>
        </w:tc>
        <w:tc>
          <w:tcPr>
            <w:tcW w:type="dxa" w:w="2268"/>
          </w:tcPr>
          <w:p>
            <w:pPr>
              <w:spacing w:after="40" w:before="40"/>
            </w:pPr>
            <w:r/>
            <w:r>
              <w:rPr>
                <w:sz w:val="19"/>
              </w:rPr>
              <w:t>On Hold — Awaiting Change</w:t>
            </w:r>
          </w:p>
        </w:tc>
        <w:tc>
          <w:tcPr>
            <w:tcW w:type="dxa" w:w="1701"/>
          </w:tcPr>
          <w:p>
            <w:pPr>
              <w:spacing w:after="40" w:before="40"/>
            </w:pPr>
            <w:r/>
            <w:r>
              <w:rPr>
                <w:sz w:val="19"/>
              </w:rPr>
              <w:t>Blocked by: Us</w:t>
            </w:r>
          </w:p>
        </w:tc>
        <w:tc>
          <w:tcPr>
            <w:tcW w:type="dxa" w:w="3402"/>
          </w:tcPr>
          <w:p>
            <w:pPr>
              <w:spacing w:after="40" w:before="40"/>
            </w:pPr>
            <w:r/>
            <w:r>
              <w:rPr>
                <w:sz w:val="19"/>
              </w:rPr>
              <w:t>That change went in last Tuesday. Nothing is blocking this ticket any more</w:t>
            </w:r>
          </w:p>
        </w:tc>
      </w:tr>
    </w:tbl>
    <w:p>
      <w:pPr>
        <w:spacing w:after="80"/>
      </w:pPr>
    </w:p>
    <w:p>
      <w:r>
        <w:rPr>
          <w:b w:val="0"/>
          <w:i w:val="0"/>
          <w:sz w:val="21"/>
        </w:rPr>
        <w:t>These two cases are, in practice, where most genuinely stuck tickets hide. Nobody is at fault — there is simply no mechanism in ServiceNow that tells you a dependency cleared.</w:t>
      </w:r>
    </w:p>
    <w:p>
      <w:pPr>
        <w:pStyle w:val="Heading2"/>
      </w:pPr>
      <w:r>
        <w:t>2.3 The attention score</w:t>
      </w:r>
    </w:p>
    <w:p>
      <w:r>
        <w:rPr>
          <w:b w:val="0"/>
          <w:i w:val="0"/>
          <w:sz w:val="21"/>
        </w:rPr>
        <w:t>A number from 0 to 100 that puts the list in the right order. Higher means "look at this one sooner". It is arithmetic, not opinion — and the ticket page shows you exactly how each ticket earned its number.</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247"/>
            <w:shd w:val="clear" w:color="auto" w:fill="E8E8E3"/>
          </w:tcPr>
          <w:p>
            <w:pPr>
              <w:spacing w:after="40" w:before="40"/>
            </w:pPr>
            <w:r/>
            <w:r>
              <w:rPr>
                <w:b/>
                <w:sz w:val="19"/>
              </w:rPr>
              <w:t>Score</w:t>
            </w:r>
          </w:p>
        </w:tc>
        <w:tc>
          <w:tcPr>
            <w:tcW w:type="dxa" w:w="1361"/>
            <w:shd w:val="clear" w:color="auto" w:fill="E8E8E3"/>
          </w:tcPr>
          <w:p>
            <w:pPr>
              <w:spacing w:after="40" w:before="40"/>
            </w:pPr>
            <w:r/>
            <w:r>
              <w:rPr>
                <w:b/>
                <w:sz w:val="19"/>
              </w:rPr>
              <w:t>Label</w:t>
            </w:r>
          </w:p>
        </w:tc>
        <w:tc>
          <w:tcPr>
            <w:tcW w:type="dxa" w:w="6690"/>
            <w:shd w:val="clear" w:color="auto" w:fill="E8E8E3"/>
          </w:tcPr>
          <w:p>
            <w:pPr>
              <w:spacing w:after="40" w:before="40"/>
            </w:pPr>
            <w:r/>
            <w:r>
              <w:rPr>
                <w:b/>
                <w:sz w:val="19"/>
              </w:rPr>
              <w:t>What it usually means</w:t>
            </w:r>
          </w:p>
        </w:tc>
      </w:tr>
      <w:tr>
        <w:tc>
          <w:tcPr>
            <w:tcW w:type="dxa" w:w="1247"/>
          </w:tcPr>
          <w:p>
            <w:pPr>
              <w:spacing w:after="40" w:before="40"/>
            </w:pPr>
            <w:r/>
            <w:r>
              <w:rPr>
                <w:sz w:val="19"/>
              </w:rPr>
              <w:t>70–100</w:t>
            </w:r>
          </w:p>
        </w:tc>
        <w:tc>
          <w:tcPr>
            <w:tcW w:type="dxa" w:w="1361"/>
          </w:tcPr>
          <w:p>
            <w:pPr>
              <w:spacing w:after="40" w:before="40"/>
            </w:pPr>
            <w:r/>
            <w:r>
              <w:rPr>
                <w:sz w:val="19"/>
              </w:rPr>
              <w:t>Critical</w:t>
            </w:r>
          </w:p>
        </w:tc>
        <w:tc>
          <w:tcPr>
            <w:tcW w:type="dxa" w:w="6690"/>
          </w:tcPr>
          <w:p>
            <w:pPr>
              <w:spacing w:after="40" w:before="40"/>
            </w:pPr>
            <w:r/>
            <w:r>
              <w:rPr>
                <w:sz w:val="19"/>
              </w:rPr>
              <w:t>Breached or about to breach, and stalled. Deal with it today</w:t>
            </w:r>
          </w:p>
        </w:tc>
      </w:tr>
      <w:tr>
        <w:tc>
          <w:tcPr>
            <w:tcW w:type="dxa" w:w="1247"/>
          </w:tcPr>
          <w:p>
            <w:pPr>
              <w:spacing w:after="40" w:before="40"/>
            </w:pPr>
            <w:r/>
            <w:r>
              <w:rPr>
                <w:sz w:val="19"/>
              </w:rPr>
              <w:t>45–69</w:t>
            </w:r>
          </w:p>
        </w:tc>
        <w:tc>
          <w:tcPr>
            <w:tcW w:type="dxa" w:w="1361"/>
          </w:tcPr>
          <w:p>
            <w:pPr>
              <w:spacing w:after="40" w:before="40"/>
            </w:pPr>
            <w:r/>
            <w:r>
              <w:rPr>
                <w:sz w:val="19"/>
              </w:rPr>
              <w:t>High</w:t>
            </w:r>
          </w:p>
        </w:tc>
        <w:tc>
          <w:tcPr>
            <w:tcW w:type="dxa" w:w="6690"/>
          </w:tcPr>
          <w:p>
            <w:pPr>
              <w:spacing w:after="40" w:before="40"/>
            </w:pPr>
            <w:r/>
            <w:r>
              <w:rPr>
                <w:sz w:val="19"/>
              </w:rPr>
              <w:t>Something is genuinely wrong here. Deal with it this shift</w:t>
            </w:r>
          </w:p>
        </w:tc>
      </w:tr>
      <w:tr>
        <w:tc>
          <w:tcPr>
            <w:tcW w:type="dxa" w:w="1247"/>
          </w:tcPr>
          <w:p>
            <w:pPr>
              <w:spacing w:after="40" w:before="40"/>
            </w:pPr>
            <w:r/>
            <w:r>
              <w:rPr>
                <w:sz w:val="19"/>
              </w:rPr>
              <w:t>25–44</w:t>
            </w:r>
          </w:p>
        </w:tc>
        <w:tc>
          <w:tcPr>
            <w:tcW w:type="dxa" w:w="1361"/>
          </w:tcPr>
          <w:p>
            <w:pPr>
              <w:spacing w:after="40" w:before="40"/>
            </w:pPr>
            <w:r/>
            <w:r>
              <w:rPr>
                <w:sz w:val="19"/>
              </w:rPr>
              <w:t>Medium</w:t>
            </w:r>
          </w:p>
        </w:tc>
        <w:tc>
          <w:tcPr>
            <w:tcW w:type="dxa" w:w="6690"/>
          </w:tcPr>
          <w:p>
            <w:pPr>
              <w:spacing w:after="40" w:before="40"/>
            </w:pPr>
            <w:r/>
            <w:r>
              <w:rPr>
                <w:sz w:val="19"/>
              </w:rPr>
              <w:t>Worth a look, not urgent</w:t>
            </w:r>
          </w:p>
        </w:tc>
      </w:tr>
      <w:tr>
        <w:tc>
          <w:tcPr>
            <w:tcW w:type="dxa" w:w="1247"/>
          </w:tcPr>
          <w:p>
            <w:pPr>
              <w:spacing w:after="40" w:before="40"/>
            </w:pPr>
            <w:r/>
            <w:r>
              <w:rPr>
                <w:sz w:val="19"/>
              </w:rPr>
              <w:t>0–24</w:t>
            </w:r>
          </w:p>
        </w:tc>
        <w:tc>
          <w:tcPr>
            <w:tcW w:type="dxa" w:w="1361"/>
          </w:tcPr>
          <w:p>
            <w:pPr>
              <w:spacing w:after="40" w:before="40"/>
            </w:pPr>
            <w:r/>
            <w:r>
              <w:rPr>
                <w:sz w:val="19"/>
              </w:rPr>
              <w:t>Low</w:t>
            </w:r>
          </w:p>
        </w:tc>
        <w:tc>
          <w:tcPr>
            <w:tcW w:type="dxa" w:w="6690"/>
          </w:tcPr>
          <w:p>
            <w:pPr>
              <w:spacing w:after="40" w:before="40"/>
            </w:pPr>
            <w:r/>
            <w:r>
              <w:rPr>
                <w:sz w:val="19"/>
              </w:rPr>
              <w:t>Aged, but nothing is actually wrong. Usually needs nothing</w:t>
            </w:r>
          </w:p>
        </w:tc>
      </w:tr>
    </w:tbl>
    <w:p>
      <w:pPr>
        <w:spacing w:after="80"/>
      </w:pPr>
    </w:p>
    <w:p>
      <w:r>
        <w:rPr>
          <w:b w:val="0"/>
          <w:i w:val="0"/>
          <w:sz w:val="21"/>
        </w:rPr>
        <w:t>What feeds the score, and roughly how much each contributes: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928"/>
            <w:shd w:val="clear" w:color="auto" w:fill="E8E8E3"/>
          </w:tcPr>
          <w:p>
            <w:pPr>
              <w:spacing w:after="40" w:before="40"/>
            </w:pPr>
            <w:r/>
            <w:r>
              <w:rPr>
                <w:b/>
                <w:sz w:val="19"/>
              </w:rPr>
              <w:t>Ingredient</w:t>
            </w:r>
          </w:p>
        </w:tc>
        <w:tc>
          <w:tcPr>
            <w:tcW w:type="dxa" w:w="907"/>
            <w:shd w:val="clear" w:color="auto" w:fill="E8E8E3"/>
          </w:tcPr>
          <w:p>
            <w:pPr>
              <w:spacing w:after="40" w:before="40"/>
            </w:pPr>
            <w:r/>
            <w:r>
              <w:rPr>
                <w:b/>
                <w:sz w:val="19"/>
              </w:rPr>
              <w:t>Weight</w:t>
            </w:r>
          </w:p>
        </w:tc>
        <w:tc>
          <w:tcPr>
            <w:tcW w:type="dxa" w:w="6463"/>
            <w:shd w:val="clear" w:color="auto" w:fill="E8E8E3"/>
          </w:tcPr>
          <w:p>
            <w:pPr>
              <w:spacing w:after="40" w:before="40"/>
            </w:pPr>
            <w:r/>
            <w:r>
              <w:rPr>
                <w:b/>
                <w:sz w:val="19"/>
              </w:rPr>
              <w:t>Plain meaning</w:t>
            </w:r>
          </w:p>
        </w:tc>
      </w:tr>
      <w:tr>
        <w:tc>
          <w:tcPr>
            <w:tcW w:type="dxa" w:w="1928"/>
          </w:tcPr>
          <w:p>
            <w:pPr>
              <w:spacing w:after="40" w:before="40"/>
            </w:pPr>
            <w:r/>
            <w:r>
              <w:rPr>
                <w:sz w:val="19"/>
              </w:rPr>
              <w:t>SLA jeopardy</w:t>
            </w:r>
          </w:p>
        </w:tc>
        <w:tc>
          <w:tcPr>
            <w:tcW w:type="dxa" w:w="907"/>
          </w:tcPr>
          <w:p>
            <w:pPr>
              <w:spacing w:after="40" w:before="40"/>
            </w:pPr>
            <w:r/>
            <w:r>
              <w:rPr>
                <w:sz w:val="19"/>
              </w:rPr>
              <w:t>25</w:t>
            </w:r>
          </w:p>
        </w:tc>
        <w:tc>
          <w:tcPr>
            <w:tcW w:type="dxa" w:w="6463"/>
          </w:tcPr>
          <w:p>
            <w:pPr>
              <w:spacing w:after="40" w:before="40"/>
            </w:pPr>
            <w:r/>
            <w:r>
              <w:rPr>
                <w:sz w:val="19"/>
              </w:rPr>
              <w:t>How close it is to breaching, or whether it already has</w:t>
            </w:r>
          </w:p>
        </w:tc>
      </w:tr>
      <w:tr>
        <w:tc>
          <w:tcPr>
            <w:tcW w:type="dxa" w:w="1928"/>
          </w:tcPr>
          <w:p>
            <w:pPr>
              <w:spacing w:after="40" w:before="40"/>
            </w:pPr>
            <w:r/>
            <w:r>
              <w:rPr>
                <w:sz w:val="19"/>
              </w:rPr>
              <w:t>Stagnation</w:t>
            </w:r>
          </w:p>
        </w:tc>
        <w:tc>
          <w:tcPr>
            <w:tcW w:type="dxa" w:w="907"/>
          </w:tcPr>
          <w:p>
            <w:pPr>
              <w:spacing w:after="40" w:before="40"/>
            </w:pPr>
            <w:r/>
            <w:r>
              <w:rPr>
                <w:sz w:val="19"/>
              </w:rPr>
              <w:t>25</w:t>
            </w:r>
          </w:p>
        </w:tc>
        <w:tc>
          <w:tcPr>
            <w:tcW w:type="dxa" w:w="6463"/>
          </w:tcPr>
          <w:p>
            <w:pPr>
              <w:spacing w:after="40" w:before="40"/>
            </w:pPr>
            <w:r/>
            <w:r>
              <w:rPr>
                <w:sz w:val="19"/>
              </w:rPr>
              <w:t>How long since anybody touched it</w:t>
            </w:r>
          </w:p>
        </w:tc>
      </w:tr>
      <w:tr>
        <w:tc>
          <w:tcPr>
            <w:tcW w:type="dxa" w:w="1928"/>
          </w:tcPr>
          <w:p>
            <w:pPr>
              <w:spacing w:after="40" w:before="40"/>
            </w:pPr>
            <w:r/>
            <w:r>
              <w:rPr>
                <w:sz w:val="19"/>
              </w:rPr>
              <w:t>Blocked but stale</w:t>
            </w:r>
          </w:p>
        </w:tc>
        <w:tc>
          <w:tcPr>
            <w:tcW w:type="dxa" w:w="907"/>
          </w:tcPr>
          <w:p>
            <w:pPr>
              <w:spacing w:after="40" w:before="40"/>
            </w:pPr>
            <w:r/>
            <w:r>
              <w:rPr>
                <w:sz w:val="19"/>
              </w:rPr>
              <w:t>15</w:t>
            </w:r>
          </w:p>
        </w:tc>
        <w:tc>
          <w:tcPr>
            <w:tcW w:type="dxa" w:w="6463"/>
          </w:tcPr>
          <w:p>
            <w:pPr>
              <w:spacing w:after="40" w:before="40"/>
            </w:pPr>
            <w:r/>
            <w:r>
              <w:rPr>
                <w:sz w:val="19"/>
              </w:rPr>
              <w:t>Caller waiting on a reply, blocker already cleared, or never actioned at all</w:t>
            </w:r>
          </w:p>
        </w:tc>
      </w:tr>
      <w:tr>
        <w:tc>
          <w:tcPr>
            <w:tcW w:type="dxa" w:w="1928"/>
          </w:tcPr>
          <w:p>
            <w:pPr>
              <w:spacing w:after="40" w:before="40"/>
            </w:pPr>
            <w:r/>
            <w:r>
              <w:rPr>
                <w:sz w:val="19"/>
              </w:rPr>
              <w:t>Ticket age</w:t>
            </w:r>
          </w:p>
        </w:tc>
        <w:tc>
          <w:tcPr>
            <w:tcW w:type="dxa" w:w="907"/>
          </w:tcPr>
          <w:p>
            <w:pPr>
              <w:spacing w:after="40" w:before="40"/>
            </w:pPr>
            <w:r/>
            <w:r>
              <w:rPr>
                <w:sz w:val="19"/>
              </w:rPr>
              <w:t>10</w:t>
            </w:r>
          </w:p>
        </w:tc>
        <w:tc>
          <w:tcPr>
            <w:tcW w:type="dxa" w:w="6463"/>
          </w:tcPr>
          <w:p>
            <w:pPr>
              <w:spacing w:after="40" w:before="40"/>
            </w:pPr>
            <w:r/>
            <w:r>
              <w:rPr>
                <w:sz w:val="19"/>
              </w:rPr>
              <w:t>How far beyond the five-day threshold. Deliberately a minor component — age alone carries little meaning</w:t>
            </w:r>
          </w:p>
        </w:tc>
      </w:tr>
      <w:tr>
        <w:tc>
          <w:tcPr>
            <w:tcW w:type="dxa" w:w="1928"/>
          </w:tcPr>
          <w:p>
            <w:pPr>
              <w:spacing w:after="40" w:before="40"/>
            </w:pPr>
            <w:r/>
            <w:r>
              <w:rPr>
                <w:sz w:val="19"/>
              </w:rPr>
              <w:t>Business priority</w:t>
            </w:r>
          </w:p>
        </w:tc>
        <w:tc>
          <w:tcPr>
            <w:tcW w:type="dxa" w:w="907"/>
          </w:tcPr>
          <w:p>
            <w:pPr>
              <w:spacing w:after="40" w:before="40"/>
            </w:pPr>
            <w:r/>
            <w:r>
              <w:rPr>
                <w:sz w:val="19"/>
              </w:rPr>
              <w:t>10</w:t>
            </w:r>
          </w:p>
        </w:tc>
        <w:tc>
          <w:tcPr>
            <w:tcW w:type="dxa" w:w="6463"/>
          </w:tcPr>
          <w:p>
            <w:pPr>
              <w:spacing w:after="40" w:before="40"/>
            </w:pPr>
            <w:r/>
            <w:r>
              <w:rPr>
                <w:sz w:val="19"/>
              </w:rPr>
              <w:t>P1 outranks P4</w:t>
            </w:r>
          </w:p>
        </w:tc>
      </w:tr>
      <w:tr>
        <w:tc>
          <w:tcPr>
            <w:tcW w:type="dxa" w:w="1928"/>
          </w:tcPr>
          <w:p>
            <w:pPr>
              <w:spacing w:after="40" w:before="40"/>
            </w:pPr>
            <w:r/>
            <w:r>
              <w:rPr>
                <w:sz w:val="19"/>
              </w:rPr>
              <w:t>Duration overrun</w:t>
            </w:r>
          </w:p>
        </w:tc>
        <w:tc>
          <w:tcPr>
            <w:tcW w:type="dxa" w:w="907"/>
          </w:tcPr>
          <w:p>
            <w:pPr>
              <w:spacing w:after="40" w:before="40"/>
            </w:pPr>
            <w:r/>
            <w:r>
              <w:rPr>
                <w:sz w:val="19"/>
              </w:rPr>
              <w:t>10</w:t>
            </w:r>
          </w:p>
        </w:tc>
        <w:tc>
          <w:tcPr>
            <w:tcW w:type="dxa" w:w="6463"/>
          </w:tcPr>
          <w:p>
            <w:pPr>
              <w:spacing w:after="40" w:before="40"/>
            </w:pPr>
            <w:r/>
            <w:r>
              <w:rPr>
                <w:sz w:val="19"/>
              </w:rPr>
              <w:t>Slow relative to comparable incidents of the same type, not slow in the abstract</w:t>
            </w:r>
          </w:p>
        </w:tc>
      </w:tr>
      <w:tr>
        <w:tc>
          <w:tcPr>
            <w:tcW w:type="dxa" w:w="1928"/>
          </w:tcPr>
          <w:p>
            <w:pPr>
              <w:spacing w:after="40" w:before="40"/>
            </w:pPr>
            <w:r/>
            <w:r>
              <w:rPr>
                <w:sz w:val="19"/>
              </w:rPr>
              <w:t>Reassignment activity</w:t>
            </w:r>
          </w:p>
        </w:tc>
        <w:tc>
          <w:tcPr>
            <w:tcW w:type="dxa" w:w="907"/>
          </w:tcPr>
          <w:p>
            <w:pPr>
              <w:spacing w:after="40" w:before="40"/>
            </w:pPr>
            <w:r/>
            <w:r>
              <w:rPr>
                <w:sz w:val="19"/>
              </w:rPr>
              <w:t>5</w:t>
            </w:r>
          </w:p>
        </w:tc>
        <w:tc>
          <w:tcPr>
            <w:tcW w:type="dxa" w:w="6463"/>
          </w:tcPr>
          <w:p>
            <w:pPr>
              <w:spacing w:after="40" w:before="40"/>
            </w:pPr>
            <w:r/>
            <w:r>
              <w:rPr>
                <w:sz w:val="19"/>
              </w:rPr>
              <w:t>Moved between queues, or reopened</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Assessed relative to comparable incidents.  </w:t>
      </w:r>
      <w:r>
        <w:rPr>
          <w:color w:val="52514E"/>
          <w:sz w:val="20"/>
        </w:rPr>
        <w:t>The tool establishes how long incidents in each category normally take by examining you have already resolved. A printer request that usually takes two days is flagged at four; a laptop build that normally takes ten days is not. This stops slow-by-nature work sitting permanently red.</w:t>
      </w:r>
    </w:p>
    <w:p>
      <w:pPr>
        <w:pStyle w:val="Heading2"/>
      </w:pPr>
      <w:r>
        <w:t>2.4 Risk flags</w:t>
      </w:r>
    </w:p>
    <w:p>
      <w:r>
        <w:rPr>
          <w:b w:val="0"/>
          <w:i w:val="0"/>
          <w:sz w:val="21"/>
        </w:rPr>
        <w:t>Short labels on each ticket saying what specifically is wrong. These are the things to scan for.</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814"/>
            <w:shd w:val="clear" w:color="auto" w:fill="E8E8E3"/>
          </w:tcPr>
          <w:p>
            <w:pPr>
              <w:spacing w:after="40" w:before="40"/>
            </w:pPr>
            <w:r/>
            <w:r>
              <w:rPr>
                <w:b/>
                <w:sz w:val="19"/>
              </w:rPr>
              <w:t>Flag</w:t>
            </w:r>
          </w:p>
        </w:tc>
        <w:tc>
          <w:tcPr>
            <w:tcW w:type="dxa" w:w="3969"/>
            <w:shd w:val="clear" w:color="auto" w:fill="E8E8E3"/>
          </w:tcPr>
          <w:p>
            <w:pPr>
              <w:spacing w:after="40" w:before="40"/>
            </w:pPr>
            <w:r/>
            <w:r>
              <w:rPr>
                <w:b/>
                <w:sz w:val="19"/>
              </w:rPr>
              <w:t>What it means</w:t>
            </w:r>
          </w:p>
        </w:tc>
        <w:tc>
          <w:tcPr>
            <w:tcW w:type="dxa" w:w="3515"/>
            <w:shd w:val="clear" w:color="auto" w:fill="E8E8E3"/>
          </w:tcPr>
          <w:p>
            <w:pPr>
              <w:spacing w:after="40" w:before="40"/>
            </w:pPr>
            <w:r/>
            <w:r>
              <w:rPr>
                <w:b/>
                <w:sz w:val="19"/>
              </w:rPr>
              <w:t>Typical response</w:t>
            </w:r>
          </w:p>
        </w:tc>
      </w:tr>
      <w:tr>
        <w:tc>
          <w:tcPr>
            <w:tcW w:type="dxa" w:w="1814"/>
          </w:tcPr>
          <w:p>
            <w:pPr>
              <w:spacing w:after="40" w:before="40"/>
            </w:pPr>
            <w:r/>
            <w:r>
              <w:rPr>
                <w:sz w:val="19"/>
              </w:rPr>
              <w:t>SLA breached</w:t>
            </w:r>
          </w:p>
        </w:tc>
        <w:tc>
          <w:tcPr>
            <w:tcW w:type="dxa" w:w="3969"/>
          </w:tcPr>
          <w:p>
            <w:pPr>
              <w:spacing w:after="40" w:before="40"/>
            </w:pPr>
            <w:r/>
            <w:r>
              <w:rPr>
                <w:sz w:val="19"/>
              </w:rPr>
              <w:t>The resolution SLA has already been missed</w:t>
            </w:r>
          </w:p>
        </w:tc>
        <w:tc>
          <w:tcPr>
            <w:tcW w:type="dxa" w:w="3515"/>
          </w:tcPr>
          <w:p>
            <w:pPr>
              <w:spacing w:after="40" w:before="40"/>
            </w:pPr>
            <w:r/>
            <w:r>
              <w:rPr>
                <w:sz w:val="19"/>
              </w:rPr>
              <w:t>Prioritise, and make sure the reason is documented</w:t>
            </w:r>
          </w:p>
        </w:tc>
      </w:tr>
      <w:tr>
        <w:tc>
          <w:tcPr>
            <w:tcW w:type="dxa" w:w="1814"/>
          </w:tcPr>
          <w:p>
            <w:pPr>
              <w:spacing w:after="40" w:before="40"/>
            </w:pPr>
            <w:r/>
            <w:r>
              <w:rPr>
                <w:sz w:val="19"/>
              </w:rPr>
              <w:t>SLA at risk</w:t>
            </w:r>
          </w:p>
        </w:tc>
        <w:tc>
          <w:tcPr>
            <w:tcW w:type="dxa" w:w="3969"/>
          </w:tcPr>
          <w:p>
            <w:pPr>
              <w:spacing w:after="40" w:before="40"/>
            </w:pPr>
            <w:r/>
            <w:r>
              <w:rPr>
                <w:sz w:val="19"/>
              </w:rPr>
              <w:t>Past 75% of the allowed time</w:t>
            </w:r>
          </w:p>
        </w:tc>
        <w:tc>
          <w:tcPr>
            <w:tcW w:type="dxa" w:w="3515"/>
          </w:tcPr>
          <w:p>
            <w:pPr>
              <w:spacing w:after="40" w:before="40"/>
            </w:pPr>
            <w:r/>
            <w:r>
              <w:rPr>
                <w:sz w:val="19"/>
              </w:rPr>
              <w:t>Act now while it is still avoidable</w:t>
            </w:r>
          </w:p>
        </w:tc>
      </w:tr>
      <w:tr>
        <w:tc>
          <w:tcPr>
            <w:tcW w:type="dxa" w:w="1814"/>
          </w:tcPr>
          <w:p>
            <w:pPr>
              <w:spacing w:after="40" w:before="40"/>
            </w:pPr>
            <w:r/>
            <w:r>
              <w:rPr>
                <w:sz w:val="19"/>
              </w:rPr>
              <w:t>No action 4+ days</w:t>
            </w:r>
          </w:p>
        </w:tc>
        <w:tc>
          <w:tcPr>
            <w:tcW w:type="dxa" w:w="3969"/>
          </w:tcPr>
          <w:p>
            <w:pPr>
              <w:spacing w:after="40" w:before="40"/>
            </w:pPr>
            <w:r/>
            <w:r>
              <w:rPr>
                <w:sz w:val="19"/>
              </w:rPr>
              <w:t>Nobody on our side has touched it for four days or more</w:t>
            </w:r>
          </w:p>
        </w:tc>
        <w:tc>
          <w:tcPr>
            <w:tcW w:type="dxa" w:w="3515"/>
          </w:tcPr>
          <w:p>
            <w:pPr>
              <w:spacing w:after="40" w:before="40"/>
            </w:pPr>
            <w:r/>
            <w:r>
              <w:rPr>
                <w:sz w:val="19"/>
              </w:rPr>
              <w:t>Either progress it or record why it is waiting</w:t>
            </w:r>
          </w:p>
        </w:tc>
      </w:tr>
      <w:tr>
        <w:tc>
          <w:tcPr>
            <w:tcW w:type="dxa" w:w="1814"/>
          </w:tcPr>
          <w:p>
            <w:pPr>
              <w:spacing w:after="40" w:before="40"/>
            </w:pPr>
            <w:r/>
            <w:r>
              <w:rPr>
                <w:sz w:val="19"/>
              </w:rPr>
              <w:t>No recent activity</w:t>
            </w:r>
          </w:p>
        </w:tc>
        <w:tc>
          <w:tcPr>
            <w:tcW w:type="dxa" w:w="3969"/>
          </w:tcPr>
          <w:p>
            <w:pPr>
              <w:spacing w:after="40" w:before="40"/>
            </w:pPr>
            <w:r/>
            <w:r>
              <w:rPr>
                <w:sz w:val="19"/>
              </w:rPr>
              <w:t>No action by the assigned team for two days or more</w:t>
            </w:r>
          </w:p>
        </w:tc>
        <w:tc>
          <w:tcPr>
            <w:tcW w:type="dxa" w:w="3515"/>
          </w:tcPr>
          <w:p>
            <w:pPr>
              <w:spacing w:after="40" w:before="40"/>
            </w:pPr>
            <w:r/>
            <w:r>
              <w:rPr>
                <w:sz w:val="19"/>
              </w:rPr>
              <w:t>Review and progress</w:t>
            </w:r>
          </w:p>
        </w:tc>
      </w:tr>
      <w:tr>
        <w:tc>
          <w:tcPr>
            <w:tcW w:type="dxa" w:w="1814"/>
          </w:tcPr>
          <w:p>
            <w:pPr>
              <w:spacing w:after="40" w:before="40"/>
            </w:pPr>
            <w:r/>
            <w:r>
              <w:rPr>
                <w:sz w:val="19"/>
              </w:rPr>
              <w:t>Caller awaiting response</w:t>
            </w:r>
          </w:p>
        </w:tc>
        <w:tc>
          <w:tcPr>
            <w:tcW w:type="dxa" w:w="3969"/>
          </w:tcPr>
          <w:p>
            <w:pPr>
              <w:spacing w:after="40" w:before="40"/>
            </w:pPr>
            <w:r/>
            <w:r>
              <w:rPr>
                <w:sz w:val="19"/>
              </w:rPr>
              <w:t>The caller has responded and received no reply since</w:t>
            </w:r>
          </w:p>
        </w:tc>
        <w:tc>
          <w:tcPr>
            <w:tcW w:type="dxa" w:w="3515"/>
          </w:tcPr>
          <w:p>
            <w:pPr>
              <w:spacing w:after="40" w:before="40"/>
            </w:pPr>
            <w:r/>
            <w:r>
              <w:rPr>
                <w:sz w:val="19"/>
              </w:rPr>
              <w:t>Respond. This is the most avoidable category of delay</w:t>
            </w:r>
          </w:p>
        </w:tc>
      </w:tr>
      <w:tr>
        <w:tc>
          <w:tcPr>
            <w:tcW w:type="dxa" w:w="1814"/>
          </w:tcPr>
          <w:p>
            <w:pPr>
              <w:spacing w:after="40" w:before="40"/>
            </w:pPr>
            <w:r/>
            <w:r>
              <w:rPr>
                <w:sz w:val="19"/>
              </w:rPr>
              <w:t>Dependency already closed</w:t>
            </w:r>
          </w:p>
        </w:tc>
        <w:tc>
          <w:tcPr>
            <w:tcW w:type="dxa" w:w="3969"/>
          </w:tcPr>
          <w:p>
            <w:pPr>
              <w:spacing w:after="40" w:before="40"/>
            </w:pPr>
            <w:r/>
            <w:r>
              <w:rPr>
                <w:sz w:val="19"/>
              </w:rPr>
              <w:t>The change or problem it was awaiting has closed</w:t>
            </w:r>
          </w:p>
        </w:tc>
        <w:tc>
          <w:tcPr>
            <w:tcW w:type="dxa" w:w="3515"/>
          </w:tcPr>
          <w:p>
            <w:pPr>
              <w:spacing w:after="40" w:before="40"/>
            </w:pPr>
            <w:r/>
            <w:r>
              <w:rPr>
                <w:sz w:val="19"/>
              </w:rPr>
              <w:t>Remove the hold and progress the incident</w:t>
            </w:r>
          </w:p>
        </w:tc>
      </w:tr>
      <w:tr>
        <w:tc>
          <w:tcPr>
            <w:tcW w:type="dxa" w:w="1814"/>
          </w:tcPr>
          <w:p>
            <w:pPr>
              <w:spacing w:after="40" w:before="40"/>
            </w:pPr>
            <w:r/>
            <w:r>
              <w:rPr>
                <w:sz w:val="19"/>
              </w:rPr>
              <w:t>Closure candidate</w:t>
            </w:r>
          </w:p>
        </w:tc>
        <w:tc>
          <w:tcPr>
            <w:tcW w:type="dxa" w:w="3969"/>
          </w:tcPr>
          <w:p>
            <w:pPr>
              <w:spacing w:after="40" w:before="40"/>
            </w:pPr>
            <w:r/>
            <w:r>
              <w:rPr>
                <w:sz w:val="19"/>
              </w:rPr>
              <w:t>Follow-ups documented, caller silent since</w:t>
            </w:r>
          </w:p>
        </w:tc>
        <w:tc>
          <w:tcPr>
            <w:tcW w:type="dxa" w:w="3515"/>
          </w:tcPr>
          <w:p>
            <w:pPr>
              <w:spacing w:after="40" w:before="40"/>
            </w:pPr>
            <w:r/>
            <w:r>
              <w:rPr>
                <w:sz w:val="19"/>
              </w:rPr>
              <w:t>Consider closure in line with local policy</w:t>
            </w:r>
          </w:p>
        </w:tc>
      </w:tr>
      <w:tr>
        <w:tc>
          <w:tcPr>
            <w:tcW w:type="dxa" w:w="1814"/>
          </w:tcPr>
          <w:p>
            <w:pPr>
              <w:spacing w:after="40" w:before="40"/>
            </w:pPr>
            <w:r/>
            <w:r>
              <w:rPr>
                <w:sz w:val="19"/>
              </w:rPr>
              <w:t>Expected duration exceeded</w:t>
            </w:r>
          </w:p>
        </w:tc>
        <w:tc>
          <w:tcPr>
            <w:tcW w:type="dxa" w:w="3969"/>
          </w:tcPr>
          <w:p>
            <w:pPr>
              <w:spacing w:after="40" w:before="40"/>
            </w:pPr>
            <w:r/>
            <w:r>
              <w:rPr>
                <w:sz w:val="19"/>
              </w:rPr>
              <w:t>Slower than comparable incidents of the same type</w:t>
            </w:r>
          </w:p>
        </w:tc>
        <w:tc>
          <w:tcPr>
            <w:tcW w:type="dxa" w:w="3515"/>
          </w:tcPr>
          <w:p>
            <w:pPr>
              <w:spacing w:after="40" w:before="40"/>
            </w:pPr>
            <w:r/>
            <w:r>
              <w:rPr>
                <w:sz w:val="19"/>
              </w:rPr>
              <w:t>Establish the reason</w:t>
            </w:r>
          </w:p>
        </w:tc>
      </w:tr>
      <w:tr>
        <w:tc>
          <w:tcPr>
            <w:tcW w:type="dxa" w:w="1814"/>
          </w:tcPr>
          <w:p>
            <w:pPr>
              <w:spacing w:after="40" w:before="40"/>
            </w:pPr>
            <w:r/>
            <w:r>
              <w:rPr>
                <w:sz w:val="19"/>
              </w:rPr>
              <w:t>Knowledge article not linked</w:t>
            </w:r>
          </w:p>
        </w:tc>
        <w:tc>
          <w:tcPr>
            <w:tcW w:type="dxa" w:w="3969"/>
          </w:tcPr>
          <w:p>
            <w:pPr>
              <w:spacing w:after="40" w:before="40"/>
            </w:pPr>
            <w:r/>
            <w:r>
              <w:rPr>
                <w:sz w:val="19"/>
              </w:rPr>
              <w:t>A knowledge article covers this incident and was not linked</w:t>
            </w:r>
          </w:p>
        </w:tc>
        <w:tc>
          <w:tcPr>
            <w:tcW w:type="dxa" w:w="3515"/>
          </w:tcPr>
          <w:p>
            <w:pPr>
              <w:spacing w:after="40" w:before="40"/>
            </w:pPr>
            <w:r/>
            <w:r>
              <w:rPr>
                <w:sz w:val="19"/>
              </w:rPr>
              <w:t>Attach it — helps the next person and the caller</w:t>
            </w:r>
          </w:p>
        </w:tc>
      </w:tr>
      <w:tr>
        <w:tc>
          <w:tcPr>
            <w:tcW w:type="dxa" w:w="1814"/>
          </w:tcPr>
          <w:p>
            <w:pPr>
              <w:spacing w:after="40" w:before="40"/>
            </w:pPr>
            <w:r/>
            <w:r>
              <w:rPr>
                <w:sz w:val="19"/>
              </w:rPr>
              <w:t>Never actioned</w:t>
            </w:r>
          </w:p>
        </w:tc>
        <w:tc>
          <w:tcPr>
            <w:tcW w:type="dxa" w:w="3969"/>
          </w:tcPr>
          <w:p>
            <w:pPr>
              <w:spacing w:after="40" w:before="40"/>
            </w:pPr>
            <w:r/>
            <w:r>
              <w:rPr>
                <w:sz w:val="19"/>
              </w:rPr>
              <w:t>No agent has touched it since it was raised</w:t>
            </w:r>
          </w:p>
        </w:tc>
        <w:tc>
          <w:tcPr>
            <w:tcW w:type="dxa" w:w="3515"/>
          </w:tcPr>
          <w:p>
            <w:pPr>
              <w:spacing w:after="40" w:before="40"/>
            </w:pPr>
            <w:r/>
            <w:r>
              <w:rPr>
                <w:sz w:val="19"/>
              </w:rPr>
              <w:t>Pick it up, or get it assigned properly</w:t>
            </w:r>
          </w:p>
        </w:tc>
      </w:tr>
      <w:tr>
        <w:tc>
          <w:tcPr>
            <w:tcW w:type="dxa" w:w="1814"/>
          </w:tcPr>
          <w:p>
            <w:pPr>
              <w:spacing w:after="40" w:before="40"/>
            </w:pPr>
            <w:r/>
            <w:r>
              <w:rPr>
                <w:sz w:val="19"/>
              </w:rPr>
              <w:t>Suspicious content</w:t>
            </w:r>
          </w:p>
        </w:tc>
        <w:tc>
          <w:tcPr>
            <w:tcW w:type="dxa" w:w="3969"/>
          </w:tcPr>
          <w:p>
            <w:pPr>
              <w:spacing w:after="40" w:before="40"/>
            </w:pPr>
            <w:r/>
            <w:r>
              <w:rPr>
                <w:sz w:val="19"/>
              </w:rPr>
              <w:t>Something in the ticket text looked like an attempt to manipulate the tool</w:t>
            </w:r>
          </w:p>
        </w:tc>
        <w:tc>
          <w:tcPr>
            <w:tcW w:type="dxa" w:w="3515"/>
          </w:tcPr>
          <w:p>
            <w:pPr>
              <w:spacing w:after="40" w:before="40"/>
            </w:pPr>
            <w:r/>
            <w:r>
              <w:rPr>
                <w:sz w:val="19"/>
              </w:rPr>
              <w:t>Rare. Mention it to your lead</w:t>
            </w:r>
          </w:p>
        </w:tc>
      </w:tr>
    </w:tbl>
    <w:p>
      <w:pPr>
        <w:spacing w:after="80"/>
      </w:pPr>
    </w:p>
    <w:p>
      <w:r>
        <w:br w:type="page"/>
      </w:r>
    </w:p>
    <w:p>
      <w:pPr>
        <w:pStyle w:val="Heading1"/>
      </w:pPr>
      <w:r>
        <w:t>3. What the tool suggests, and how much to trust it</w:t>
      </w:r>
    </w:p>
    <w:p>
      <w:pPr>
        <w:pStyle w:val="Heading2"/>
      </w:pPr>
      <w:r>
        <w:t>3.1 The eight suggestions</w:t>
      </w:r>
    </w:p>
    <w:p>
      <w:r>
        <w:rPr>
          <w:b w:val="0"/>
          <w:i w:val="0"/>
          <w:sz w:val="21"/>
        </w:rPr>
        <w:t>Every analysed ticket gets exactly one suggested next step.</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814"/>
            <w:shd w:val="clear" w:color="auto" w:fill="E8E8E3"/>
          </w:tcPr>
          <w:p>
            <w:pPr>
              <w:spacing w:after="40" w:before="40"/>
            </w:pPr>
            <w:r/>
            <w:r>
              <w:rPr>
                <w:b/>
                <w:sz w:val="19"/>
              </w:rPr>
              <w:t>Suggestion</w:t>
            </w:r>
          </w:p>
        </w:tc>
        <w:tc>
          <w:tcPr>
            <w:tcW w:type="dxa" w:w="3061"/>
            <w:shd w:val="clear" w:color="auto" w:fill="E8E8E3"/>
          </w:tcPr>
          <w:p>
            <w:pPr>
              <w:spacing w:after="40" w:before="40"/>
            </w:pPr>
            <w:r/>
            <w:r>
              <w:rPr>
                <w:b/>
                <w:sz w:val="19"/>
              </w:rPr>
              <w:t>Means</w:t>
            </w:r>
          </w:p>
        </w:tc>
        <w:tc>
          <w:tcPr>
            <w:tcW w:type="dxa" w:w="4422"/>
            <w:shd w:val="clear" w:color="auto" w:fill="E8E8E3"/>
          </w:tcPr>
          <w:p>
            <w:pPr>
              <w:spacing w:after="40" w:before="40"/>
            </w:pPr>
            <w:r/>
            <w:r>
              <w:rPr>
                <w:b/>
                <w:sz w:val="19"/>
              </w:rPr>
              <w:t>Usually right when</w:t>
            </w:r>
          </w:p>
        </w:tc>
      </w:tr>
      <w:tr>
        <w:tc>
          <w:tcPr>
            <w:tcW w:type="dxa" w:w="1814"/>
          </w:tcPr>
          <w:p>
            <w:pPr>
              <w:spacing w:after="40" w:before="40"/>
            </w:pPr>
            <w:r/>
            <w:r>
              <w:rPr>
                <w:sz w:val="19"/>
              </w:rPr>
              <w:t>Resolve now</w:t>
            </w:r>
          </w:p>
        </w:tc>
        <w:tc>
          <w:tcPr>
            <w:tcW w:type="dxa" w:w="3061"/>
          </w:tcPr>
          <w:p>
            <w:pPr>
              <w:spacing w:after="40" w:before="40"/>
            </w:pPr>
            <w:r/>
            <w:r>
              <w:rPr>
                <w:sz w:val="19"/>
              </w:rPr>
              <w:t>There is enough here to resolve it</w:t>
            </w:r>
          </w:p>
        </w:tc>
        <w:tc>
          <w:tcPr>
            <w:tcW w:type="dxa" w:w="4422"/>
          </w:tcPr>
          <w:p>
            <w:pPr>
              <w:spacing w:after="40" w:before="40"/>
            </w:pPr>
            <w:r/>
            <w:r>
              <w:rPr>
                <w:sz w:val="19"/>
              </w:rPr>
              <w:t>The fix is documented, or the blocker has cleared</w:t>
            </w:r>
          </w:p>
        </w:tc>
      </w:tr>
      <w:tr>
        <w:tc>
          <w:tcPr>
            <w:tcW w:type="dxa" w:w="1814"/>
          </w:tcPr>
          <w:p>
            <w:pPr>
              <w:spacing w:after="40" w:before="40"/>
            </w:pPr>
            <w:r/>
            <w:r>
              <w:rPr>
                <w:sz w:val="19"/>
              </w:rPr>
              <w:t>Follow up with caller</w:t>
            </w:r>
          </w:p>
        </w:tc>
        <w:tc>
          <w:tcPr>
            <w:tcW w:type="dxa" w:w="3061"/>
          </w:tcPr>
          <w:p>
            <w:pPr>
              <w:spacing w:after="40" w:before="40"/>
            </w:pPr>
            <w:r/>
            <w:r>
              <w:rPr>
                <w:sz w:val="19"/>
              </w:rPr>
              <w:t>We owe the caller contact</w:t>
            </w:r>
          </w:p>
        </w:tc>
        <w:tc>
          <w:tcPr>
            <w:tcW w:type="dxa" w:w="4422"/>
          </w:tcPr>
          <w:p>
            <w:pPr>
              <w:spacing w:after="40" w:before="40"/>
            </w:pPr>
            <w:r/>
            <w:r>
              <w:rPr>
                <w:sz w:val="19"/>
              </w:rPr>
              <w:t>They replied and got nothing back, or we are waiting on them and have gone quiet</w:t>
            </w:r>
          </w:p>
        </w:tc>
      </w:tr>
      <w:tr>
        <w:tc>
          <w:tcPr>
            <w:tcW w:type="dxa" w:w="1814"/>
          </w:tcPr>
          <w:p>
            <w:pPr>
              <w:spacing w:after="40" w:before="40"/>
            </w:pPr>
            <w:r/>
            <w:r>
              <w:rPr>
                <w:sz w:val="19"/>
              </w:rPr>
              <w:t>Chase vendor</w:t>
            </w:r>
          </w:p>
        </w:tc>
        <w:tc>
          <w:tcPr>
            <w:tcW w:type="dxa" w:w="3061"/>
          </w:tcPr>
          <w:p>
            <w:pPr>
              <w:spacing w:after="40" w:before="40"/>
            </w:pPr>
            <w:r/>
            <w:r>
              <w:rPr>
                <w:sz w:val="19"/>
              </w:rPr>
              <w:t>A third party is holding it and needs pushing</w:t>
            </w:r>
          </w:p>
        </w:tc>
        <w:tc>
          <w:tcPr>
            <w:tcW w:type="dxa" w:w="4422"/>
          </w:tcPr>
          <w:p>
            <w:pPr>
              <w:spacing w:after="40" w:before="40"/>
            </w:pPr>
            <w:r/>
            <w:r>
              <w:rPr>
                <w:sz w:val="19"/>
              </w:rPr>
              <w:t>No vendor update for a while</w:t>
            </w:r>
          </w:p>
        </w:tc>
      </w:tr>
      <w:tr>
        <w:tc>
          <w:tcPr>
            <w:tcW w:type="dxa" w:w="1814"/>
          </w:tcPr>
          <w:p>
            <w:pPr>
              <w:spacing w:after="40" w:before="40"/>
            </w:pPr>
            <w:r/>
            <w:r>
              <w:rPr>
                <w:sz w:val="19"/>
              </w:rPr>
              <w:t>Reassign</w:t>
            </w:r>
          </w:p>
        </w:tc>
        <w:tc>
          <w:tcPr>
            <w:tcW w:type="dxa" w:w="3061"/>
          </w:tcPr>
          <w:p>
            <w:pPr>
              <w:spacing w:after="40" w:before="40"/>
            </w:pPr>
            <w:r/>
            <w:r>
              <w:rPr>
                <w:sz w:val="19"/>
              </w:rPr>
              <w:t>It is in the wrong queue</w:t>
            </w:r>
          </w:p>
        </w:tc>
        <w:tc>
          <w:tcPr>
            <w:tcW w:type="dxa" w:w="4422"/>
          </w:tcPr>
          <w:p>
            <w:pPr>
              <w:spacing w:after="40" w:before="40"/>
            </w:pPr>
            <w:r/>
            <w:r>
              <w:rPr>
                <w:sz w:val="19"/>
              </w:rPr>
              <w:t>The evidence points clearly at a specific named team</w:t>
            </w:r>
          </w:p>
        </w:tc>
      </w:tr>
      <w:tr>
        <w:tc>
          <w:tcPr>
            <w:tcW w:type="dxa" w:w="1814"/>
          </w:tcPr>
          <w:p>
            <w:pPr>
              <w:spacing w:after="40" w:before="40"/>
            </w:pPr>
            <w:r/>
            <w:r>
              <w:rPr>
                <w:sz w:val="19"/>
              </w:rPr>
              <w:t>Escalate</w:t>
            </w:r>
          </w:p>
        </w:tc>
        <w:tc>
          <w:tcPr>
            <w:tcW w:type="dxa" w:w="3061"/>
          </w:tcPr>
          <w:p>
            <w:pPr>
              <w:spacing w:after="40" w:before="40"/>
            </w:pPr>
            <w:r/>
            <w:r>
              <w:rPr>
                <w:sz w:val="19"/>
              </w:rPr>
              <w:t>Needs a lead or someone senior</w:t>
            </w:r>
          </w:p>
        </w:tc>
        <w:tc>
          <w:tcPr>
            <w:tcW w:type="dxa" w:w="4422"/>
          </w:tcPr>
          <w:p>
            <w:pPr>
              <w:spacing w:after="40" w:before="40"/>
            </w:pPr>
            <w:r/>
            <w:r>
              <w:rPr>
                <w:sz w:val="19"/>
              </w:rPr>
              <w:t>Stuck a long time, or the tool is not confident enough to be more specific</w:t>
            </w:r>
          </w:p>
        </w:tc>
      </w:tr>
      <w:tr>
        <w:tc>
          <w:tcPr>
            <w:tcW w:type="dxa" w:w="1814"/>
          </w:tcPr>
          <w:p>
            <w:pPr>
              <w:spacing w:after="40" w:before="40"/>
            </w:pPr>
            <w:r/>
            <w:r>
              <w:rPr>
                <w:sz w:val="19"/>
              </w:rPr>
              <w:t>Waiting on dependency</w:t>
            </w:r>
          </w:p>
        </w:tc>
        <w:tc>
          <w:tcPr>
            <w:tcW w:type="dxa" w:w="3061"/>
          </w:tcPr>
          <w:p>
            <w:pPr>
              <w:spacing w:after="40" w:before="40"/>
            </w:pPr>
            <w:r/>
            <w:r>
              <w:rPr>
                <w:sz w:val="19"/>
              </w:rPr>
              <w:t>Genuinely blocked, correctly</w:t>
            </w:r>
          </w:p>
        </w:tc>
        <w:tc>
          <w:tcPr>
            <w:tcW w:type="dxa" w:w="4422"/>
          </w:tcPr>
          <w:p>
            <w:pPr>
              <w:spacing w:after="40" w:before="40"/>
            </w:pPr>
            <w:r/>
            <w:r>
              <w:rPr>
                <w:sz w:val="19"/>
              </w:rPr>
              <w:t>The change or problem it is waiting on is still open</w:t>
            </w:r>
          </w:p>
        </w:tc>
      </w:tr>
      <w:tr>
        <w:tc>
          <w:tcPr>
            <w:tcW w:type="dxa" w:w="1814"/>
          </w:tcPr>
          <w:p>
            <w:pPr>
              <w:spacing w:after="40" w:before="40"/>
            </w:pPr>
            <w:r/>
            <w:r>
              <w:rPr>
                <w:sz w:val="19"/>
              </w:rPr>
              <w:t>Close (no response)</w:t>
            </w:r>
          </w:p>
        </w:tc>
        <w:tc>
          <w:tcPr>
            <w:tcW w:type="dxa" w:w="3061"/>
          </w:tcPr>
          <w:p>
            <w:pPr>
              <w:spacing w:after="40" w:before="40"/>
            </w:pPr>
            <w:r/>
            <w:r>
              <w:rPr>
                <w:sz w:val="19"/>
              </w:rPr>
              <w:t>Follow-ups exhausted, caller silent</w:t>
            </w:r>
          </w:p>
        </w:tc>
        <w:tc>
          <w:tcPr>
            <w:tcW w:type="dxa" w:w="4422"/>
          </w:tcPr>
          <w:p>
            <w:pPr>
              <w:spacing w:after="40" w:before="40"/>
            </w:pPr>
            <w:r/>
            <w:r>
              <w:rPr>
                <w:sz w:val="19"/>
              </w:rPr>
              <w:t>Three or more documented attempts and nothing back</w:t>
            </w:r>
          </w:p>
        </w:tc>
      </w:tr>
      <w:tr>
        <w:tc>
          <w:tcPr>
            <w:tcW w:type="dxa" w:w="1814"/>
          </w:tcPr>
          <w:p>
            <w:pPr>
              <w:spacing w:after="40" w:before="40"/>
            </w:pPr>
            <w:r/>
            <w:r>
              <w:rPr>
                <w:sz w:val="19"/>
              </w:rPr>
              <w:t>On track</w:t>
            </w:r>
          </w:p>
        </w:tc>
        <w:tc>
          <w:tcPr>
            <w:tcW w:type="dxa" w:w="3061"/>
          </w:tcPr>
          <w:p>
            <w:pPr>
              <w:spacing w:after="40" w:before="40"/>
            </w:pPr>
            <w:r/>
            <w:r>
              <w:rPr>
                <w:sz w:val="19"/>
              </w:rPr>
              <w:t>Nothing needs doing</w:t>
            </w:r>
          </w:p>
        </w:tc>
        <w:tc>
          <w:tcPr>
            <w:tcW w:type="dxa" w:w="4422"/>
          </w:tcPr>
          <w:p>
            <w:pPr>
              <w:spacing w:after="40" w:before="40"/>
            </w:pPr>
            <w:r/>
            <w:r>
              <w:rPr>
                <w:sz w:val="19"/>
              </w:rPr>
              <w:t>It is aged but progressing, or legitimately waiting</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006300"/>
          <w:sz w:val="20"/>
        </w:rPr>
        <w:t xml:space="preserve">"On track" is a real answer, not a cop-out.  </w:t>
      </w:r>
      <w:r>
        <w:rPr>
          <w:color w:val="52514E"/>
          <w:sz w:val="20"/>
        </w:rPr>
        <w:t>A tool that finds something wrong with every ticket gets ignored within a fortnight. This one is explicitly allowed — and expected — to say a ticket is fine. If most of your aged list comes back On track, that is good news about your queue, not a broken tool.</w:t>
      </w:r>
    </w:p>
    <w:p>
      <w:pPr>
        <w:pStyle w:val="Heading2"/>
      </w:pPr>
      <w:r>
        <w:t>3.2 Confidence</w:t>
      </w:r>
    </w:p>
    <w:p>
      <w:r>
        <w:rPr>
          <w:b w:val="0"/>
          <w:i w:val="0"/>
          <w:sz w:val="21"/>
        </w:rPr>
        <w:t>Every suggestion carries a confidence percentage.</w:t>
      </w:r>
    </w:p>
    <w:tbl>
      <w:tblPr>
        <w:tblStyle w:val="TableGrid"/>
        <w:tblW w:type="auto" w:w="0"/>
        <w:jc w:val="left"/>
        <w:tblLayout w:type="autofit"/>
        <w:tblLook w:firstColumn="1" w:firstRow="1" w:lastColumn="0" w:lastRow="0" w:noHBand="0" w:noVBand="1" w:val="04A0"/>
      </w:tblPr>
      <w:tblGrid>
        <w:gridCol w:w="4929"/>
        <w:gridCol w:w="4929"/>
      </w:tblGrid>
      <w:tr>
        <w:tc>
          <w:tcPr>
            <w:tcW w:type="dxa" w:w="1701"/>
            <w:shd w:val="clear" w:color="auto" w:fill="E8E8E3"/>
          </w:tcPr>
          <w:p>
            <w:pPr>
              <w:spacing w:after="40" w:before="40"/>
            </w:pPr>
            <w:r/>
            <w:r>
              <w:rPr>
                <w:b/>
                <w:sz w:val="19"/>
              </w:rPr>
              <w:t>Confidence</w:t>
            </w:r>
          </w:p>
        </w:tc>
        <w:tc>
          <w:tcPr>
            <w:tcW w:type="dxa" w:w="7597"/>
            <w:shd w:val="clear" w:color="auto" w:fill="E8E8E3"/>
          </w:tcPr>
          <w:p>
            <w:pPr>
              <w:spacing w:after="40" w:before="40"/>
            </w:pPr>
            <w:r/>
            <w:r>
              <w:rPr>
                <w:b/>
                <w:sz w:val="19"/>
              </w:rPr>
              <w:t>How to read it</w:t>
            </w:r>
          </w:p>
        </w:tc>
      </w:tr>
      <w:tr>
        <w:tc>
          <w:tcPr>
            <w:tcW w:type="dxa" w:w="1701"/>
          </w:tcPr>
          <w:p>
            <w:pPr>
              <w:spacing w:after="40" w:before="40"/>
            </w:pPr>
            <w:r/>
            <w:r>
              <w:rPr>
                <w:sz w:val="19"/>
              </w:rPr>
              <w:t>Above 80%</w:t>
            </w:r>
          </w:p>
        </w:tc>
        <w:tc>
          <w:tcPr>
            <w:tcW w:type="dxa" w:w="7597"/>
          </w:tcPr>
          <w:p>
            <w:pPr>
              <w:spacing w:after="40" w:before="40"/>
            </w:pPr>
            <w:r/>
            <w:r>
              <w:rPr>
                <w:sz w:val="19"/>
              </w:rPr>
              <w:t>The evidence is clear. Usually safe to act on after a sanity check</w:t>
            </w:r>
          </w:p>
        </w:tc>
      </w:tr>
      <w:tr>
        <w:tc>
          <w:tcPr>
            <w:tcW w:type="dxa" w:w="1701"/>
          </w:tcPr>
          <w:p>
            <w:pPr>
              <w:spacing w:after="40" w:before="40"/>
            </w:pPr>
            <w:r/>
            <w:r>
              <w:rPr>
                <w:sz w:val="19"/>
              </w:rPr>
              <w:t>50–80%</w:t>
            </w:r>
          </w:p>
        </w:tc>
        <w:tc>
          <w:tcPr>
            <w:tcW w:type="dxa" w:w="7597"/>
          </w:tcPr>
          <w:p>
            <w:pPr>
              <w:spacing w:after="40" w:before="40"/>
            </w:pPr>
            <w:r/>
            <w:r>
              <w:rPr>
                <w:sz w:val="19"/>
              </w:rPr>
              <w:t>Reasonable, but read the reasoning before you act</w:t>
            </w:r>
          </w:p>
        </w:tc>
      </w:tr>
      <w:tr>
        <w:tc>
          <w:tcPr>
            <w:tcW w:type="dxa" w:w="1701"/>
          </w:tcPr>
          <w:p>
            <w:pPr>
              <w:spacing w:after="40" w:before="40"/>
            </w:pPr>
            <w:r/>
            <w:r>
              <w:rPr>
                <w:sz w:val="19"/>
              </w:rPr>
              <w:t>Below 50%</w:t>
            </w:r>
          </w:p>
        </w:tc>
        <w:tc>
          <w:tcPr>
            <w:tcW w:type="dxa" w:w="7597"/>
          </w:tcPr>
          <w:p>
            <w:pPr>
              <w:spacing w:after="40" w:before="40"/>
            </w:pPr>
            <w:r/>
            <w:r>
              <w:rPr>
                <w:sz w:val="19"/>
              </w:rPr>
              <w:t>Flagged as "Needs your review". The tool is telling you it cannot judge this one properly — usually because the ticket history is too thin. Treat it as a prompt to look, not as advice</w:t>
            </w:r>
          </w:p>
        </w:tc>
      </w:tr>
    </w:tbl>
    <w:p>
      <w:pPr>
        <w:spacing w:after="80"/>
      </w:pPr>
    </w:p>
    <w:p>
      <w:r>
        <w:rPr>
          <w:b w:val="0"/>
          <w:i w:val="0"/>
          <w:sz w:val="21"/>
        </w:rPr>
        <w:t>Low confidence is a feature. The alternative — a confident-sounding guess — is worse than an honest "I am not sure about this one".</w:t>
      </w:r>
    </w:p>
    <w:p>
      <w:pPr>
        <w:pStyle w:val="Heading2"/>
      </w:pPr>
      <w:r>
        <w:t>3.3 Evidence</w:t>
      </w:r>
    </w:p>
    <w:p>
      <w:r>
        <w:rPr>
          <w:b w:val="0"/>
          <w:i w:val="0"/>
          <w:sz w:val="21"/>
        </w:rPr>
        <w:t>Suggestions are not produced from thin air. Before deciding, the tool looks up:</w:t>
      </w:r>
    </w:p>
    <w:p>
      <w:pPr>
        <w:pStyle w:val="ListBullet"/>
        <w:spacing w:after="60"/>
        <w:ind w:left="397"/>
      </w:pPr>
      <w:r>
        <w:rPr>
          <w:b/>
          <w:sz w:val="21"/>
        </w:rPr>
        <w:t xml:space="preserve">Similar incidents — </w:t>
      </w:r>
      <w:r>
        <w:rPr>
          <w:sz w:val="21"/>
        </w:rPr>
        <w:t>tickets that look like this one and have already been resolved, including what actually fixed them and how long they took;</w:t>
      </w:r>
    </w:p>
    <w:p>
      <w:pPr>
        <w:pStyle w:val="ListBullet"/>
        <w:spacing w:after="60"/>
        <w:ind w:left="397"/>
      </w:pPr>
      <w:r>
        <w:rPr>
          <w:b/>
          <w:sz w:val="21"/>
        </w:rPr>
        <w:t xml:space="preserve">Knowledge articles — </w:t>
      </w:r>
      <w:r>
        <w:rPr>
          <w:sz w:val="21"/>
        </w:rPr>
        <w:t>published articles relevant to the symptom, and whether one is already attached.</w:t>
      </w:r>
    </w:p>
    <w:p>
      <w:r>
        <w:rPr>
          <w:b w:val="0"/>
          <w:i w:val="0"/>
          <w:sz w:val="21"/>
        </w:rPr>
        <w:t>The ticket page lists exactly which ones it used, with their numbers, so you can open them and check. If the reasoning cites INC2811111, you can go and read INC2811111.</w:t>
      </w:r>
    </w:p>
    <w:p>
      <w:pPr>
        <w:pStyle w:val="Heading2"/>
      </w:pPr>
      <w:r>
        <w:t>3.4 The drafted text</w:t>
      </w:r>
    </w:p>
    <w:p>
      <w:r>
        <w:rPr>
          <w:b w:val="0"/>
          <w:i w:val="0"/>
          <w:sz w:val="21"/>
        </w:rPr>
        <w:t>Where it makes sense, the tool writes two things for you:</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701"/>
            <w:shd w:val="clear" w:color="auto" w:fill="E8E8E3"/>
          </w:tcPr>
          <w:p>
            <w:pPr>
              <w:spacing w:after="40" w:before="40"/>
            </w:pPr>
            <w:r/>
            <w:r>
              <w:rPr>
                <w:b/>
                <w:sz w:val="19"/>
              </w:rPr>
              <w:t>Draft</w:t>
            </w:r>
          </w:p>
        </w:tc>
        <w:tc>
          <w:tcPr>
            <w:tcW w:type="dxa" w:w="3742"/>
            <w:shd w:val="clear" w:color="auto" w:fill="E8E8E3"/>
          </w:tcPr>
          <w:p>
            <w:pPr>
              <w:spacing w:after="40" w:before="40"/>
            </w:pPr>
            <w:r/>
            <w:r>
              <w:rPr>
                <w:b/>
                <w:sz w:val="19"/>
              </w:rPr>
              <w:t>Written as</w:t>
            </w:r>
          </w:p>
        </w:tc>
        <w:tc>
          <w:tcPr>
            <w:tcW w:type="dxa" w:w="3855"/>
            <w:shd w:val="clear" w:color="auto" w:fill="E8E8E3"/>
          </w:tcPr>
          <w:p>
            <w:pPr>
              <w:spacing w:after="40" w:before="40"/>
            </w:pPr>
            <w:r/>
            <w:r>
              <w:rPr>
                <w:b/>
                <w:sz w:val="19"/>
              </w:rPr>
              <w:t>Use it for</w:t>
            </w:r>
          </w:p>
        </w:tc>
      </w:tr>
      <w:tr>
        <w:tc>
          <w:tcPr>
            <w:tcW w:type="dxa" w:w="1701"/>
          </w:tcPr>
          <w:p>
            <w:pPr>
              <w:spacing w:after="40" w:before="40"/>
            </w:pPr>
            <w:r/>
            <w:r>
              <w:rPr>
                <w:sz w:val="19"/>
              </w:rPr>
              <w:t>Work note</w:t>
            </w:r>
          </w:p>
        </w:tc>
        <w:tc>
          <w:tcPr>
            <w:tcW w:type="dxa" w:w="3742"/>
          </w:tcPr>
          <w:p>
            <w:pPr>
              <w:spacing w:after="40" w:before="40"/>
            </w:pPr>
            <w:r/>
            <w:r>
              <w:rPr>
                <w:sz w:val="19"/>
              </w:rPr>
              <w:t>Agent to record — factual, past tense, no greeting</w:t>
            </w:r>
          </w:p>
        </w:tc>
        <w:tc>
          <w:tcPr>
            <w:tcW w:type="dxa" w:w="3855"/>
          </w:tcPr>
          <w:p>
            <w:pPr>
              <w:spacing w:after="40" w:before="40"/>
            </w:pPr>
            <w:r/>
            <w:r>
              <w:rPr>
                <w:sz w:val="19"/>
              </w:rPr>
              <w:t>Documenting what is happening, internally</w:t>
            </w:r>
          </w:p>
        </w:tc>
      </w:tr>
      <w:tr>
        <w:tc>
          <w:tcPr>
            <w:tcW w:type="dxa" w:w="1701"/>
          </w:tcPr>
          <w:p>
            <w:pPr>
              <w:spacing w:after="40" w:before="40"/>
            </w:pPr>
            <w:r/>
            <w:r>
              <w:rPr>
                <w:sz w:val="19"/>
              </w:rPr>
              <w:t>Message to caller</w:t>
            </w:r>
          </w:p>
        </w:tc>
        <w:tc>
          <w:tcPr>
            <w:tcW w:type="dxa" w:w="3742"/>
          </w:tcPr>
          <w:p>
            <w:pPr>
              <w:spacing w:after="40" w:before="40"/>
            </w:pPr>
            <w:r/>
            <w:r>
              <w:rPr>
                <w:sz w:val="19"/>
              </w:rPr>
              <w:t>Agent to caller — courteous, plain language, no jargon or hostnames</w:t>
            </w:r>
          </w:p>
        </w:tc>
        <w:tc>
          <w:tcPr>
            <w:tcW w:type="dxa" w:w="3855"/>
          </w:tcPr>
          <w:p>
            <w:pPr>
              <w:spacing w:after="40" w:before="40"/>
            </w:pPr>
            <w:r/>
            <w:r>
              <w:rPr>
                <w:sz w:val="19"/>
              </w:rPr>
              <w:t>The chase or update you were going to have to write anyway</w:t>
            </w:r>
          </w:p>
        </w:tc>
      </w:tr>
    </w:tbl>
    <w:p>
      <w:pPr>
        <w:spacing w:after="8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Always read it before you send it.  </w:t>
      </w:r>
      <w:r>
        <w:rPr>
          <w:color w:val="52514E"/>
          <w:sz w:val="20"/>
        </w:rPr>
        <w:t>It is a first draft written by a machine that has read the ticket. It is usually a good starting point and it is sometimes subtly wrong. Your name goes on it, not the tool's. Edit freely.</w:t>
      </w:r>
    </w:p>
    <w:p>
      <w:pPr>
        <w:pStyle w:val="Heading2"/>
      </w:pPr>
      <w:r>
        <w:t>3.5 When it is wrong</w:t>
      </w:r>
    </w:p>
    <w:p>
      <w:r>
        <w:rPr>
          <w:b w:val="0"/>
          <w:i w:val="0"/>
          <w:sz w:val="21"/>
        </w:rPr>
        <w:t>It will be, sometimes. What matters is what happens next:</w:t>
      </w:r>
    </w:p>
    <w:p>
      <w:pPr>
        <w:pStyle w:val="ListNumber"/>
        <w:spacing w:after="60"/>
        <w:ind w:left="397"/>
      </w:pPr>
      <w:r>
        <w:rPr>
          <w:sz w:val="21"/>
        </w:rPr>
        <w:t>Do the right thing for the ticket. Your judgement wins, always.</w:t>
      </w:r>
    </w:p>
    <w:p>
      <w:pPr>
        <w:pStyle w:val="ListNumber"/>
        <w:spacing w:after="60"/>
        <w:ind w:left="397"/>
      </w:pPr>
      <w:r>
        <w:rPr>
          <w:sz w:val="21"/>
        </w:rPr>
        <w:t>Tell the tool. On the ticket page, record a verdict of "Wrong" or "Not applicable" and, if you have ten seconds, say why in the comment box.</w:t>
      </w:r>
    </w:p>
    <w:p>
      <w:pPr>
        <w:pStyle w:val="ListNumber"/>
        <w:spacing w:after="60"/>
        <w:ind w:left="397"/>
      </w:pPr>
      <w:r>
        <w:rPr>
          <w:sz w:val="21"/>
        </w:rPr>
        <w:t>That verdict is stored and reported. If the same kind of mistake shows up repeatedly, the pattern is visible on the Accuracy page and the configuration gets fixed.</w:t>
      </w:r>
    </w:p>
    <w:p>
      <w:r>
        <w:rPr>
          <w:b w:val="0"/>
          <w:i w:val="0"/>
          <w:sz w:val="21"/>
        </w:rPr>
        <w:t>Ignoring a bad suggestion is understandable. Recording it is what actually makes it stop happening.</w:t>
      </w:r>
    </w:p>
    <w:p>
      <w:r>
        <w:br w:type="page"/>
      </w:r>
    </w:p>
    <w:p>
      <w:pPr>
        <w:pStyle w:val="Heading1"/>
      </w:pPr>
      <w:r>
        <w:t>4. For agents</w:t>
      </w:r>
    </w:p>
    <w:p>
      <w:pPr>
        <w:pStyle w:val="Heading2"/>
      </w:pPr>
      <w:r>
        <w:t>4.1 Your five-minute morning</w:t>
      </w:r>
    </w:p>
    <w:p>
      <w:pPr>
        <w:pStyle w:val="ListNumber"/>
        <w:spacing w:after="60"/>
        <w:ind w:left="397"/>
      </w:pPr>
      <w:r>
        <w:rPr>
          <w:sz w:val="21"/>
        </w:rPr>
        <w:t>Open the email titled "Your aged tickets".</w:t>
      </w:r>
    </w:p>
    <w:p>
      <w:pPr>
        <w:pStyle w:val="ListNumber"/>
        <w:spacing w:after="60"/>
        <w:ind w:left="397"/>
      </w:pPr>
      <w:r>
        <w:rPr>
          <w:sz w:val="21"/>
        </w:rPr>
        <w:t>Look at the second number in the summary line — how many are waiting on you. That is your actual list.</w:t>
      </w:r>
    </w:p>
    <w:p>
      <w:pPr>
        <w:pStyle w:val="ListNumber"/>
        <w:spacing w:after="60"/>
        <w:ind w:left="397"/>
      </w:pPr>
      <w:r>
        <w:rPr>
          <w:sz w:val="21"/>
        </w:rPr>
        <w:t>Work down them. Each one tells you what it thinks you should do and why.</w:t>
      </w:r>
    </w:p>
    <w:p>
      <w:pPr>
        <w:pStyle w:val="ListNumber"/>
        <w:spacing w:after="60"/>
        <w:ind w:left="397"/>
      </w:pPr>
      <w:r>
        <w:rPr>
          <w:sz w:val="21"/>
        </w:rPr>
        <w:t>Where a draft is offered and it fits, copy it, edit it, use it.</w:t>
      </w:r>
    </w:p>
    <w:p>
      <w:pPr>
        <w:pStyle w:val="ListNumber"/>
        <w:spacing w:after="60"/>
        <w:ind w:left="397"/>
      </w:pPr>
      <w:r>
        <w:rPr>
          <w:sz w:val="21"/>
        </w:rPr>
        <w:t>Ignore anything marked On track. It is there for completeness.</w:t>
      </w:r>
    </w:p>
    <w:p>
      <w:pPr>
        <w:pStyle w:val="Heading2"/>
      </w:pPr>
      <w:r>
        <w:t>4.2 Your daily email, explained</w:t>
      </w:r>
    </w:p>
    <w:p>
      <w:r>
        <w:rPr>
          <w:b w:val="0"/>
          <w:i w:val="0"/>
          <w:sz w:val="21"/>
        </w:rPr>
        <w:t>The email has three parts.</w:t>
      </w:r>
    </w:p>
    <w:p>
      <w:pPr>
        <w:pStyle w:val="Heading3"/>
      </w:pPr>
      <w:r>
        <w:t>The summary line</w:t>
      </w:r>
    </w:p>
    <w:p>
      <w:pPr>
        <w:spacing w:after="0" w:before="120" w:line="240" w:lineRule="auto"/>
        <w:ind w:left="170"/>
        <w:shd w:val="clear" w:color="auto" w:fill="F4F4F1"/>
      </w:pPr>
      <w:r>
        <w:rPr>
          <w:rFonts w:ascii="Consolas" w:hAnsi="Consolas"/>
          <w:color w:val="0B0B0B"/>
          <w:sz w:val="17"/>
        </w:rPr>
        <w:t>14 aged  ·  5 waiting on you  ·  2 SLA breached  ·  1 caller awaiting your reply</w:t>
      </w:r>
    </w:p>
    <w:p>
      <w:pPr>
        <w:spacing w:after="120" w:before="0"/>
      </w:pPr>
    </w:p>
    <w:p>
      <w:r>
        <w:rPr>
          <w:b w:val="0"/>
          <w:i w:val="0"/>
          <w:sz w:val="21"/>
        </w:rPr>
        <w:t>Only the second number is your to-do list. The other nine tickets are waiting on a caller, a vendor or a change, and are not yours to move today.</w:t>
      </w:r>
    </w:p>
    <w:p>
      <w:pPr>
        <w:pStyle w:val="Heading3"/>
      </w:pPr>
      <w:r>
        <w:t>Each ticket</w:t>
      </w:r>
    </w:p>
    <w:p>
      <w:r>
        <w:rPr>
          <w:b w:val="0"/>
          <w:i w:val="0"/>
          <w:sz w:val="21"/>
        </w:rPr>
        <w:t>A coloured square and a label (Critical, High, Medium, Low), the ticket number and summary, how old it is and how long it has been idle, who is blocking it, and any risk flags. Then a box with the suggested next step and the reasoning.</w:t>
      </w:r>
    </w:p>
    <w:p>
      <w:pPr>
        <w:pStyle w:val="Heading3"/>
      </w:pPr>
      <w:r>
        <w:t>Ready to paste</w:t>
      </w:r>
    </w:p>
    <w:p>
      <w:r>
        <w:rPr>
          <w:b w:val="0"/>
          <w:i w:val="0"/>
          <w:sz w:val="21"/>
        </w:rPr>
        <w:t>Where a draft work note or caller message exists, it appears at the bottom of that ticket. Copy, edit, send.</w:t>
      </w:r>
    </w:p>
    <w:p>
      <w:pPr>
        <w:pStyle w:val="Heading2"/>
      </w:pPr>
      <w:r>
        <w:t>4.3 Using the board</w:t>
      </w:r>
    </w:p>
    <w:p>
      <w:r>
        <w:rPr>
          <w:b w:val="0"/>
          <w:i w:val="0"/>
          <w:sz w:val="21"/>
        </w:rPr>
        <w:t>The email is a snapshot of the morning. The board is live and you can filter it.</w:t>
      </w:r>
    </w:p>
    <w:tbl>
      <w:tblPr>
        <w:tblStyle w:val="TableGrid"/>
        <w:tblW w:type="auto" w:w="0"/>
        <w:jc w:val="left"/>
        <w:tblLayout w:type="autofit"/>
        <w:tblLook w:firstColumn="1" w:firstRow="1" w:lastColumn="0" w:lastRow="0" w:noHBand="0" w:noVBand="1" w:val="04A0"/>
      </w:tblPr>
      <w:tblGrid>
        <w:gridCol w:w="4929"/>
        <w:gridCol w:w="4929"/>
      </w:tblGrid>
      <w:tr>
        <w:tc>
          <w:tcPr>
            <w:tcW w:type="dxa" w:w="3175"/>
            <w:shd w:val="clear" w:color="auto" w:fill="E8E8E3"/>
          </w:tcPr>
          <w:p>
            <w:pPr>
              <w:spacing w:after="40" w:before="40"/>
            </w:pPr>
            <w:r/>
            <w:r>
              <w:rPr>
                <w:b/>
                <w:sz w:val="19"/>
              </w:rPr>
              <w:t>To see</w:t>
            </w:r>
          </w:p>
        </w:tc>
        <w:tc>
          <w:tcPr>
            <w:tcW w:type="dxa" w:w="6123"/>
            <w:shd w:val="clear" w:color="auto" w:fill="E8E8E3"/>
          </w:tcPr>
          <w:p>
            <w:pPr>
              <w:spacing w:after="40" w:before="40"/>
            </w:pPr>
            <w:r/>
            <w:r>
              <w:rPr>
                <w:b/>
                <w:sz w:val="19"/>
              </w:rPr>
              <w:t>Do this</w:t>
            </w:r>
          </w:p>
        </w:tc>
      </w:tr>
      <w:tr>
        <w:tc>
          <w:tcPr>
            <w:tcW w:type="dxa" w:w="3175"/>
          </w:tcPr>
          <w:p>
            <w:pPr>
              <w:spacing w:after="40" w:before="40"/>
            </w:pPr>
            <w:r/>
            <w:r>
              <w:rPr>
                <w:sz w:val="19"/>
              </w:rPr>
              <w:t>Only your tickets</w:t>
            </w:r>
          </w:p>
        </w:tc>
        <w:tc>
          <w:tcPr>
            <w:tcW w:type="dxa" w:w="6123"/>
          </w:tcPr>
          <w:p>
            <w:pPr>
              <w:spacing w:after="40" w:before="40"/>
            </w:pPr>
            <w:r/>
            <w:r>
              <w:rPr>
                <w:sz w:val="19"/>
              </w:rPr>
              <w:t>Agent filter → your name</w:t>
            </w:r>
          </w:p>
        </w:tc>
      </w:tr>
      <w:tr>
        <w:tc>
          <w:tcPr>
            <w:tcW w:type="dxa" w:w="3175"/>
          </w:tcPr>
          <w:p>
            <w:pPr>
              <w:spacing w:after="40" w:before="40"/>
            </w:pPr>
            <w:r/>
            <w:r>
              <w:rPr>
                <w:sz w:val="19"/>
              </w:rPr>
              <w:t>Only what is actually yours to move</w:t>
            </w:r>
          </w:p>
        </w:tc>
        <w:tc>
          <w:tcPr>
            <w:tcW w:type="dxa" w:w="6123"/>
          </w:tcPr>
          <w:p>
            <w:pPr>
              <w:spacing w:after="40" w:before="40"/>
            </w:pPr>
            <w:r/>
            <w:r>
              <w:rPr>
                <w:sz w:val="19"/>
              </w:rPr>
              <w:t>Blocked by → Us</w:t>
            </w:r>
          </w:p>
        </w:tc>
      </w:tr>
      <w:tr>
        <w:tc>
          <w:tcPr>
            <w:tcW w:type="dxa" w:w="3175"/>
          </w:tcPr>
          <w:p>
            <w:pPr>
              <w:spacing w:after="40" w:before="40"/>
            </w:pPr>
            <w:r/>
            <w:r>
              <w:rPr>
                <w:sz w:val="19"/>
              </w:rPr>
              <w:t>Only the urgent ones</w:t>
            </w:r>
          </w:p>
        </w:tc>
        <w:tc>
          <w:tcPr>
            <w:tcW w:type="dxa" w:w="6123"/>
          </w:tcPr>
          <w:p>
            <w:pPr>
              <w:spacing w:after="40" w:before="40"/>
            </w:pPr>
            <w:r/>
            <w:r>
              <w:rPr>
                <w:sz w:val="19"/>
              </w:rPr>
              <w:t>Min score → 45</w:t>
            </w:r>
          </w:p>
        </w:tc>
      </w:tr>
      <w:tr>
        <w:tc>
          <w:tcPr>
            <w:tcW w:type="dxa" w:w="3175"/>
          </w:tcPr>
          <w:p>
            <w:pPr>
              <w:spacing w:after="40" w:before="40"/>
            </w:pPr>
            <w:r/>
            <w:r>
              <w:rPr>
                <w:sz w:val="19"/>
              </w:rPr>
              <w:t>Only SLA problems</w:t>
            </w:r>
          </w:p>
        </w:tc>
        <w:tc>
          <w:tcPr>
            <w:tcW w:type="dxa" w:w="6123"/>
          </w:tcPr>
          <w:p>
            <w:pPr>
              <w:spacing w:after="40" w:before="40"/>
            </w:pPr>
            <w:r/>
            <w:r>
              <w:rPr>
                <w:sz w:val="19"/>
              </w:rPr>
              <w:t>Risk flag → SLA breached, or SLA at risk</w:t>
            </w:r>
          </w:p>
        </w:tc>
      </w:tr>
      <w:tr>
        <w:tc>
          <w:tcPr>
            <w:tcW w:type="dxa" w:w="3175"/>
          </w:tcPr>
          <w:p>
            <w:pPr>
              <w:spacing w:after="40" w:before="40"/>
            </w:pPr>
            <w:r/>
            <w:r>
              <w:rPr>
                <w:sz w:val="19"/>
              </w:rPr>
              <w:t>Everything you could close</w:t>
            </w:r>
          </w:p>
        </w:tc>
        <w:tc>
          <w:tcPr>
            <w:tcW w:type="dxa" w:w="6123"/>
          </w:tcPr>
          <w:p>
            <w:pPr>
              <w:spacing w:after="40" w:before="40"/>
            </w:pPr>
            <w:r/>
            <w:r>
              <w:rPr>
                <w:sz w:val="19"/>
              </w:rPr>
              <w:t>Suggested step → Close (no response)</w:t>
            </w:r>
          </w:p>
        </w:tc>
      </w:tr>
    </w:tbl>
    <w:p>
      <w:pPr>
        <w:spacing w:after="80"/>
      </w:pPr>
    </w:p>
    <w:p>
      <w:pPr>
        <w:pStyle w:val="Heading2"/>
      </w:pPr>
      <w:r>
        <w:t>4.4 The ticket page</w:t>
      </w:r>
    </w:p>
    <w:p>
      <w:r>
        <w:rPr>
          <w:b w:val="0"/>
          <w:i w:val="0"/>
          <w:sz w:val="21"/>
        </w:rPr>
        <w:t>Click any ticket number. The page has, left to right:</w:t>
      </w:r>
    </w:p>
    <w:tbl>
      <w:tblPr>
        <w:tblStyle w:val="TableGrid"/>
        <w:tblW w:type="auto" w:w="0"/>
        <w:jc w:val="left"/>
        <w:tblLayout w:type="autofit"/>
        <w:tblLook w:firstColumn="1" w:firstRow="1" w:lastColumn="0" w:lastRow="0" w:noHBand="0" w:noVBand="1" w:val="04A0"/>
      </w:tblPr>
      <w:tblGrid>
        <w:gridCol w:w="4929"/>
        <w:gridCol w:w="4929"/>
      </w:tblGrid>
      <w:tr>
        <w:tc>
          <w:tcPr>
            <w:tcW w:type="dxa" w:w="2041"/>
            <w:shd w:val="clear" w:color="auto" w:fill="E8E8E3"/>
          </w:tcPr>
          <w:p>
            <w:pPr>
              <w:spacing w:after="40" w:before="40"/>
            </w:pPr>
            <w:r/>
            <w:r>
              <w:rPr>
                <w:b/>
                <w:sz w:val="19"/>
              </w:rPr>
              <w:t>Area</w:t>
            </w:r>
          </w:p>
        </w:tc>
        <w:tc>
          <w:tcPr>
            <w:tcW w:type="dxa" w:w="7257"/>
            <w:shd w:val="clear" w:color="auto" w:fill="E8E8E3"/>
          </w:tcPr>
          <w:p>
            <w:pPr>
              <w:spacing w:after="40" w:before="40"/>
            </w:pPr>
            <w:r/>
            <w:r>
              <w:rPr>
                <w:b/>
                <w:sz w:val="19"/>
              </w:rPr>
              <w:t>Contains</w:t>
            </w:r>
          </w:p>
        </w:tc>
      </w:tr>
      <w:tr>
        <w:tc>
          <w:tcPr>
            <w:tcW w:type="dxa" w:w="2041"/>
          </w:tcPr>
          <w:p>
            <w:pPr>
              <w:spacing w:after="40" w:before="40"/>
            </w:pPr>
            <w:r/>
            <w:r>
              <w:rPr>
                <w:sz w:val="19"/>
              </w:rPr>
              <w:t>Suggested next step</w:t>
            </w:r>
          </w:p>
        </w:tc>
        <w:tc>
          <w:tcPr>
            <w:tcW w:type="dxa" w:w="7257"/>
          </w:tcPr>
          <w:p>
            <w:pPr>
              <w:spacing w:after="40" w:before="40"/>
            </w:pPr>
            <w:r/>
            <w:r>
              <w:rPr>
                <w:sz w:val="19"/>
              </w:rPr>
              <w:t>The recommendation, the reasoning, a confidence bar, and the specific tickets and articles it used as evidence</w:t>
            </w:r>
          </w:p>
        </w:tc>
      </w:tr>
      <w:tr>
        <w:tc>
          <w:tcPr>
            <w:tcW w:type="dxa" w:w="2041"/>
          </w:tcPr>
          <w:p>
            <w:pPr>
              <w:spacing w:after="40" w:before="40"/>
            </w:pPr>
            <w:r/>
            <w:r>
              <w:rPr>
                <w:sz w:val="19"/>
              </w:rPr>
              <w:t>Ready to paste</w:t>
            </w:r>
          </w:p>
        </w:tc>
        <w:tc>
          <w:tcPr>
            <w:tcW w:type="dxa" w:w="7257"/>
          </w:tcPr>
          <w:p>
            <w:pPr>
              <w:spacing w:after="40" w:before="40"/>
            </w:pPr>
            <w:r/>
            <w:r>
              <w:rPr>
                <w:sz w:val="19"/>
              </w:rPr>
              <w:t>The drafted work note and caller message, each with a Copy button</w:t>
            </w:r>
          </w:p>
        </w:tc>
      </w:tr>
      <w:tr>
        <w:tc>
          <w:tcPr>
            <w:tcW w:type="dxa" w:w="2041"/>
          </w:tcPr>
          <w:p>
            <w:pPr>
              <w:spacing w:after="40" w:before="40"/>
            </w:pPr>
            <w:r/>
            <w:r>
              <w:rPr>
                <w:sz w:val="19"/>
              </w:rPr>
              <w:t>Activity</w:t>
            </w:r>
          </w:p>
        </w:tc>
        <w:tc>
          <w:tcPr>
            <w:tcW w:type="dxa" w:w="7257"/>
          </w:tcPr>
          <w:p>
            <w:pPr>
              <w:spacing w:after="40" w:before="40"/>
            </w:pPr>
            <w:r/>
            <w:r>
              <w:rPr>
                <w:sz w:val="19"/>
              </w:rPr>
              <w:t>The ticket history with the system noise stripped out — just the things people actually did, newest first, colour-coded by whether it was an agent or the caller</w:t>
            </w:r>
          </w:p>
        </w:tc>
      </w:tr>
      <w:tr>
        <w:tc>
          <w:tcPr>
            <w:tcW w:type="dxa" w:w="2041"/>
          </w:tcPr>
          <w:p>
            <w:pPr>
              <w:spacing w:after="40" w:before="40"/>
            </w:pPr>
            <w:r/>
            <w:r>
              <w:rPr>
                <w:sz w:val="19"/>
              </w:rPr>
              <w:t>Signals (sidebar)</w:t>
            </w:r>
          </w:p>
        </w:tc>
        <w:tc>
          <w:tcPr>
            <w:tcW w:type="dxa" w:w="7257"/>
          </w:tcPr>
          <w:p>
            <w:pPr>
              <w:spacing w:after="40" w:before="40"/>
            </w:pPr>
            <w:r/>
            <w:r>
              <w:rPr>
                <w:sz w:val="19"/>
              </w:rPr>
              <w:t>Age, idle time, last agent action, last caller activity, SLA state, follow-ups sent, dependency, KB status</w:t>
            </w:r>
          </w:p>
        </w:tc>
      </w:tr>
      <w:tr>
        <w:tc>
          <w:tcPr>
            <w:tcW w:type="dxa" w:w="2041"/>
          </w:tcPr>
          <w:p>
            <w:pPr>
              <w:spacing w:after="40" w:before="40"/>
            </w:pPr>
            <w:r/>
            <w:r>
              <w:rPr>
                <w:sz w:val="19"/>
              </w:rPr>
              <w:t>Why it ranks here</w:t>
            </w:r>
          </w:p>
        </w:tc>
        <w:tc>
          <w:tcPr>
            <w:tcW w:type="dxa" w:w="7257"/>
          </w:tcPr>
          <w:p>
            <w:pPr>
              <w:spacing w:after="40" w:before="40"/>
            </w:pPr>
            <w:r/>
            <w:r>
              <w:rPr>
                <w:sz w:val="19"/>
              </w:rPr>
              <w:t>The score broken into its ingredients, so you can see exactly what pushed it up the list</w:t>
            </w:r>
          </w:p>
        </w:tc>
      </w:tr>
      <w:tr>
        <w:tc>
          <w:tcPr>
            <w:tcW w:type="dxa" w:w="2041"/>
          </w:tcPr>
          <w:p>
            <w:pPr>
              <w:spacing w:after="40" w:before="40"/>
            </w:pPr>
            <w:r/>
            <w:r>
              <w:rPr>
                <w:sz w:val="19"/>
              </w:rPr>
              <w:t>Open in ServiceNow</w:t>
            </w:r>
          </w:p>
        </w:tc>
        <w:tc>
          <w:tcPr>
            <w:tcW w:type="dxa" w:w="7257"/>
          </w:tcPr>
          <w:p>
            <w:pPr>
              <w:spacing w:after="40" w:before="40"/>
            </w:pPr>
            <w:r/>
            <w:r>
              <w:rPr>
                <w:sz w:val="19"/>
              </w:rPr>
              <w:t>A direct link, because all the actual work still happens there</w:t>
            </w:r>
          </w:p>
        </w:tc>
      </w:tr>
    </w:tbl>
    <w:p>
      <w:pPr>
        <w:spacing w:after="80"/>
      </w:pPr>
    </w:p>
    <w:p>
      <w:pPr>
        <w:pStyle w:val="Heading2"/>
      </w:pPr>
      <w:r>
        <w:t>4.5 A playbook for each suggestion</w:t>
      </w:r>
    </w:p>
    <w:tbl>
      <w:tblPr>
        <w:tblStyle w:val="TableGrid"/>
        <w:tblW w:type="auto" w:w="0"/>
        <w:jc w:val="left"/>
        <w:tblLayout w:type="autofit"/>
        <w:tblLook w:firstColumn="1" w:firstRow="1" w:lastColumn="0" w:lastRow="0" w:noHBand="0" w:noVBand="1" w:val="04A0"/>
      </w:tblPr>
      <w:tblGrid>
        <w:gridCol w:w="4929"/>
        <w:gridCol w:w="4929"/>
      </w:tblGrid>
      <w:tr>
        <w:tc>
          <w:tcPr>
            <w:tcW w:type="dxa" w:w="1928"/>
            <w:shd w:val="clear" w:color="auto" w:fill="E8E8E3"/>
          </w:tcPr>
          <w:p>
            <w:pPr>
              <w:spacing w:after="40" w:before="40"/>
            </w:pPr>
            <w:r/>
            <w:r>
              <w:rPr>
                <w:b/>
                <w:sz w:val="19"/>
              </w:rPr>
              <w:t>If it says</w:t>
            </w:r>
          </w:p>
        </w:tc>
        <w:tc>
          <w:tcPr>
            <w:tcW w:type="dxa" w:w="7370"/>
            <w:shd w:val="clear" w:color="auto" w:fill="E8E8E3"/>
          </w:tcPr>
          <w:p>
            <w:pPr>
              <w:spacing w:after="40" w:before="40"/>
            </w:pPr>
            <w:r/>
            <w:r>
              <w:rPr>
                <w:b/>
                <w:sz w:val="19"/>
              </w:rPr>
              <w:t>Do this</w:t>
            </w:r>
          </w:p>
        </w:tc>
      </w:tr>
      <w:tr>
        <w:tc>
          <w:tcPr>
            <w:tcW w:type="dxa" w:w="1928"/>
          </w:tcPr>
          <w:p>
            <w:pPr>
              <w:spacing w:after="40" w:before="40"/>
            </w:pPr>
            <w:r/>
            <w:r>
              <w:rPr>
                <w:sz w:val="19"/>
              </w:rPr>
              <w:t>Follow up with caller</w:t>
            </w:r>
          </w:p>
        </w:tc>
        <w:tc>
          <w:tcPr>
            <w:tcW w:type="dxa" w:w="7370"/>
          </w:tcPr>
          <w:p>
            <w:pPr>
              <w:spacing w:after="40" w:before="40"/>
            </w:pPr>
            <w:r/>
            <w:r>
              <w:rPr>
                <w:sz w:val="19"/>
              </w:rPr>
              <w:t>Check the Activity panel for whether they already replied. If they did, answer that first — do not send a generic chase to someone who is waiting on you</w:t>
            </w:r>
          </w:p>
        </w:tc>
      </w:tr>
      <w:tr>
        <w:tc>
          <w:tcPr>
            <w:tcW w:type="dxa" w:w="1928"/>
          </w:tcPr>
          <w:p>
            <w:pPr>
              <w:spacing w:after="40" w:before="40"/>
            </w:pPr>
            <w:r/>
            <w:r>
              <w:rPr>
                <w:sz w:val="19"/>
              </w:rPr>
              <w:t>Chase vendor</w:t>
            </w:r>
          </w:p>
        </w:tc>
        <w:tc>
          <w:tcPr>
            <w:tcW w:type="dxa" w:w="7370"/>
          </w:tcPr>
          <w:p>
            <w:pPr>
              <w:spacing w:after="40" w:before="40"/>
            </w:pPr>
            <w:r/>
            <w:r>
              <w:rPr>
                <w:sz w:val="19"/>
              </w:rPr>
              <w:t>Update the work note with the vendor reference and what you asked for. That is what stops it being flagged again tomorrow</w:t>
            </w:r>
          </w:p>
        </w:tc>
      </w:tr>
      <w:tr>
        <w:tc>
          <w:tcPr>
            <w:tcW w:type="dxa" w:w="1928"/>
          </w:tcPr>
          <w:p>
            <w:pPr>
              <w:spacing w:after="40" w:before="40"/>
            </w:pPr>
            <w:r/>
            <w:r>
              <w:rPr>
                <w:sz w:val="19"/>
              </w:rPr>
              <w:t>Reassign</w:t>
            </w:r>
          </w:p>
        </w:tc>
        <w:tc>
          <w:tcPr>
            <w:tcW w:type="dxa" w:w="7370"/>
          </w:tcPr>
          <w:p>
            <w:pPr>
              <w:spacing w:after="40" w:before="40"/>
            </w:pPr>
            <w:r/>
            <w:r>
              <w:rPr>
                <w:sz w:val="19"/>
              </w:rPr>
              <w:t>Check the suggested group makes sense. The tool can only suggest groups that really exist, but it can still pick the wrong one. Put the reason in a work note</w:t>
            </w:r>
          </w:p>
        </w:tc>
      </w:tr>
      <w:tr>
        <w:tc>
          <w:tcPr>
            <w:tcW w:type="dxa" w:w="1928"/>
          </w:tcPr>
          <w:p>
            <w:pPr>
              <w:spacing w:after="40" w:before="40"/>
            </w:pPr>
            <w:r/>
            <w:r>
              <w:rPr>
                <w:sz w:val="19"/>
              </w:rPr>
              <w:t>Resolve</w:t>
            </w:r>
          </w:p>
        </w:tc>
        <w:tc>
          <w:tcPr>
            <w:tcW w:type="dxa" w:w="7370"/>
          </w:tcPr>
          <w:p>
            <w:pPr>
              <w:spacing w:after="40" w:before="40"/>
            </w:pPr>
            <w:r/>
            <w:r>
              <w:rPr>
                <w:sz w:val="19"/>
              </w:rPr>
              <w:t>Review the comparable incident cited. If that resolution applies, apply it, and link the knowledge article at the same time</w:t>
            </w:r>
          </w:p>
        </w:tc>
      </w:tr>
      <w:tr>
        <w:tc>
          <w:tcPr>
            <w:tcW w:type="dxa" w:w="1928"/>
          </w:tcPr>
          <w:p>
            <w:pPr>
              <w:spacing w:after="40" w:before="40"/>
            </w:pPr>
            <w:r/>
            <w:r>
              <w:rPr>
                <w:sz w:val="19"/>
              </w:rPr>
              <w:t>Awaiting dependency</w:t>
            </w:r>
          </w:p>
        </w:tc>
        <w:tc>
          <w:tcPr>
            <w:tcW w:type="dxa" w:w="7370"/>
          </w:tcPr>
          <w:p>
            <w:pPr>
              <w:spacing w:after="40" w:before="40"/>
            </w:pPr>
            <w:r/>
            <w:r>
              <w:rPr>
                <w:sz w:val="19"/>
              </w:rPr>
              <w:t>No action required. Confirm the dependency reference in the sidebar is still open — if it has closed, the flag will already have changed to "Dependency already closed"</w:t>
            </w:r>
          </w:p>
        </w:tc>
      </w:tr>
      <w:tr>
        <w:tc>
          <w:tcPr>
            <w:tcW w:type="dxa" w:w="1928"/>
          </w:tcPr>
          <w:p>
            <w:pPr>
              <w:spacing w:after="40" w:before="40"/>
            </w:pPr>
            <w:r/>
            <w:r>
              <w:rPr>
                <w:sz w:val="19"/>
              </w:rPr>
              <w:t>Close - no caller response</w:t>
            </w:r>
          </w:p>
        </w:tc>
        <w:tc>
          <w:tcPr>
            <w:tcW w:type="dxa" w:w="7370"/>
          </w:tcPr>
          <w:p>
            <w:pPr>
              <w:spacing w:after="40" w:before="40"/>
            </w:pPr>
            <w:r/>
            <w:r>
              <w:rPr>
                <w:sz w:val="19"/>
              </w:rPr>
              <w:t>Follow local closure policy. The tool has verified that the follow-ups are documented; it is not authorising the closure</w:t>
            </w:r>
          </w:p>
        </w:tc>
      </w:tr>
      <w:tr>
        <w:tc>
          <w:tcPr>
            <w:tcW w:type="dxa" w:w="1928"/>
          </w:tcPr>
          <w:p>
            <w:pPr>
              <w:spacing w:after="40" w:before="40"/>
            </w:pPr>
            <w:r/>
            <w:r>
              <w:rPr>
                <w:sz w:val="19"/>
              </w:rPr>
              <w:t>Escalate</w:t>
            </w:r>
          </w:p>
        </w:tc>
        <w:tc>
          <w:tcPr>
            <w:tcW w:type="dxa" w:w="7370"/>
          </w:tcPr>
          <w:p>
            <w:pPr>
              <w:spacing w:after="40" w:before="40"/>
            </w:pPr>
            <w:r/>
            <w:r>
              <w:rPr>
                <w:sz w:val="19"/>
              </w:rPr>
              <w:t>Flag it to your lead with what you have tried</w:t>
            </w:r>
          </w:p>
        </w:tc>
      </w:tr>
      <w:tr>
        <w:tc>
          <w:tcPr>
            <w:tcW w:type="dxa" w:w="1928"/>
          </w:tcPr>
          <w:p>
            <w:pPr>
              <w:spacing w:after="40" w:before="40"/>
            </w:pPr>
            <w:r/>
            <w:r>
              <w:rPr>
                <w:sz w:val="19"/>
              </w:rPr>
              <w:t>On track</w:t>
            </w:r>
          </w:p>
        </w:tc>
        <w:tc>
          <w:tcPr>
            <w:tcW w:type="dxa" w:w="7370"/>
          </w:tcPr>
          <w:p>
            <w:pPr>
              <w:spacing w:after="40" w:before="40"/>
            </w:pPr>
            <w:r/>
            <w:r>
              <w:rPr>
                <w:sz w:val="19"/>
              </w:rPr>
              <w:t>Nothing</w:t>
            </w:r>
          </w:p>
        </w:tc>
      </w:tr>
    </w:tbl>
    <w:p>
      <w:pPr>
        <w:spacing w:after="80"/>
      </w:pPr>
    </w:p>
    <w:p>
      <w:pPr>
        <w:pStyle w:val="Heading2"/>
      </w:pPr>
      <w:r>
        <w:t>4.6 Habits that keep your tickets off the list</w:t>
      </w:r>
    </w:p>
    <w:p>
      <w:r>
        <w:rPr>
          <w:b w:val="0"/>
          <w:i w:val="0"/>
          <w:sz w:val="21"/>
        </w:rPr>
        <w:t>Not a scoring system to game — these are the same habits that make tickets easy for the next person to pick up.</w:t>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Habit</w:t>
            </w:r>
          </w:p>
        </w:tc>
        <w:tc>
          <w:tcPr>
            <w:tcW w:type="dxa" w:w="6463"/>
            <w:shd w:val="clear" w:color="auto" w:fill="E8E8E3"/>
          </w:tcPr>
          <w:p>
            <w:pPr>
              <w:spacing w:after="40" w:before="40"/>
            </w:pPr>
            <w:r/>
            <w:r>
              <w:rPr>
                <w:b/>
                <w:sz w:val="19"/>
              </w:rPr>
              <w:t>Why it helps</w:t>
            </w:r>
          </w:p>
        </w:tc>
      </w:tr>
      <w:tr>
        <w:tc>
          <w:tcPr>
            <w:tcW w:type="dxa" w:w="2835"/>
          </w:tcPr>
          <w:p>
            <w:pPr>
              <w:spacing w:after="40" w:before="40"/>
            </w:pPr>
            <w:r/>
            <w:r>
              <w:rPr>
                <w:sz w:val="19"/>
              </w:rPr>
              <w:t>Put a work note on when you do something</w:t>
            </w:r>
          </w:p>
        </w:tc>
        <w:tc>
          <w:tcPr>
            <w:tcW w:type="dxa" w:w="6463"/>
          </w:tcPr>
          <w:p>
            <w:pPr>
              <w:spacing w:after="40" w:before="40"/>
            </w:pPr>
            <w:r/>
            <w:r>
              <w:rPr>
                <w:sz w:val="19"/>
              </w:rPr>
              <w:t>The idle clock resets on real activity. Work you did not record did not happen, as far as any tool or any lead can tell</w:t>
            </w:r>
          </w:p>
        </w:tc>
      </w:tr>
      <w:tr>
        <w:tc>
          <w:tcPr>
            <w:tcW w:type="dxa" w:w="2835"/>
          </w:tcPr>
          <w:p>
            <w:pPr>
              <w:spacing w:after="40" w:before="40"/>
            </w:pPr>
            <w:r/>
            <w:r>
              <w:rPr>
                <w:sz w:val="19"/>
              </w:rPr>
              <w:t>Use the right hold reason</w:t>
            </w:r>
          </w:p>
        </w:tc>
        <w:tc>
          <w:tcPr>
            <w:tcW w:type="dxa" w:w="6463"/>
          </w:tcPr>
          <w:p>
            <w:pPr>
              <w:spacing w:after="40" w:before="40"/>
            </w:pPr>
            <w:r/>
            <w:r>
              <w:rPr>
                <w:sz w:val="19"/>
              </w:rPr>
              <w:t>This is what drives Blocked by. "Awaiting Vendor" on a ticket that is really waiting on the caller sends it to the wrong place</w:t>
            </w:r>
          </w:p>
        </w:tc>
      </w:tr>
      <w:tr>
        <w:tc>
          <w:tcPr>
            <w:tcW w:type="dxa" w:w="2835"/>
          </w:tcPr>
          <w:p>
            <w:pPr>
              <w:spacing w:after="40" w:before="40"/>
            </w:pPr>
            <w:r/>
            <w:r>
              <w:rPr>
                <w:sz w:val="19"/>
              </w:rPr>
              <w:t>Make chase messages look like chases</w:t>
            </w:r>
          </w:p>
        </w:tc>
        <w:tc>
          <w:tcPr>
            <w:tcW w:type="dxa" w:w="6463"/>
          </w:tcPr>
          <w:p>
            <w:pPr>
              <w:spacing w:after="40" w:before="40"/>
            </w:pPr>
            <w:r/>
            <w:r>
              <w:rPr>
                <w:sz w:val="19"/>
              </w:rPr>
              <w:t>Phrases like "following up", "gentle reminder", "any update" are how documented follow-ups are counted. Three counted follow-ups is what makes a ticket eligible for closure instead of sitting open forever</w:t>
            </w:r>
          </w:p>
        </w:tc>
      </w:tr>
      <w:tr>
        <w:tc>
          <w:tcPr>
            <w:tcW w:type="dxa" w:w="2835"/>
          </w:tcPr>
          <w:p>
            <w:pPr>
              <w:spacing w:after="40" w:before="40"/>
            </w:pPr>
            <w:r/>
            <w:r>
              <w:rPr>
                <w:sz w:val="19"/>
              </w:rPr>
              <w:t>Attach the KB article you used</w:t>
            </w:r>
          </w:p>
        </w:tc>
        <w:tc>
          <w:tcPr>
            <w:tcW w:type="dxa" w:w="6463"/>
          </w:tcPr>
          <w:p>
            <w:pPr>
              <w:spacing w:after="40" w:before="40"/>
            </w:pPr>
            <w:r/>
            <w:r>
              <w:rPr>
                <w:sz w:val="19"/>
              </w:rPr>
              <w:t>Clears the "KB not attached" flag, and genuinely helps the caller and the next agent</w:t>
            </w:r>
          </w:p>
        </w:tc>
      </w:tr>
      <w:tr>
        <w:tc>
          <w:tcPr>
            <w:tcW w:type="dxa" w:w="2835"/>
          </w:tcPr>
          <w:p>
            <w:pPr>
              <w:spacing w:after="40" w:before="40"/>
            </w:pPr>
            <w:r/>
            <w:r>
              <w:rPr>
                <w:sz w:val="19"/>
              </w:rPr>
              <w:t>Take it off hold when the blocker clears</w:t>
            </w:r>
          </w:p>
        </w:tc>
        <w:tc>
          <w:tcPr>
            <w:tcW w:type="dxa" w:w="6463"/>
          </w:tcPr>
          <w:p>
            <w:pPr>
              <w:spacing w:after="40" w:before="40"/>
            </w:pPr>
            <w:r/>
            <w:r>
              <w:rPr>
                <w:sz w:val="19"/>
              </w:rPr>
              <w:t>The tool will catch it if you do not, but a ticket sitting on hold for a change that closed two weeks ago is pure lost time</w:t>
            </w:r>
          </w:p>
        </w:tc>
      </w:tr>
    </w:tbl>
    <w:p>
      <w:pPr>
        <w:spacing w:after="80"/>
      </w:pPr>
    </w:p>
    <w:p>
      <w:pPr>
        <w:pStyle w:val="Heading2"/>
      </w:pPr>
      <w:r>
        <w:t>4.7 If a ticket is flagged unfairly</w:t>
      </w:r>
    </w:p>
    <w:p>
      <w:r>
        <w:rPr>
          <w:b w:val="0"/>
          <w:i w:val="0"/>
          <w:sz w:val="21"/>
        </w:rPr>
        <w:t>The most common cause is that real work was done but not recorded in a way anything can see — a phone call with no work note, or an update made by an automated account that the tool has been told to ignore.</w:t>
      </w:r>
    </w:p>
    <w:p>
      <w:r>
        <w:rPr>
          <w:b w:val="0"/>
          <w:i w:val="0"/>
          <w:sz w:val="21"/>
        </w:rPr>
        <w:t>Tell your lead. If it is a one-off, they record "Not applicable" and it goes away. If it keeps happening to the same kind of ticket, it is a configuration problem and worth fixing properly — Section 5.8.</w:t>
      </w:r>
    </w:p>
    <w:p>
      <w:r>
        <w:br w:type="page"/>
      </w:r>
    </w:p>
    <w:p>
      <w:pPr>
        <w:pStyle w:val="Heading1"/>
      </w:pPr>
      <w:r>
        <w:t>5. For leads</w:t>
      </w:r>
    </w:p>
    <w:p>
      <w:pPr>
        <w:pStyle w:val="Heading2"/>
      </w:pPr>
      <w:r>
        <w:t>5.1 Your ten-minute morning review</w:t>
      </w:r>
    </w:p>
    <w:p>
      <w:pPr>
        <w:pStyle w:val="ListNumber"/>
        <w:spacing w:after="60"/>
        <w:ind w:left="397"/>
      </w:pPr>
      <w:r>
        <w:rPr>
          <w:sz w:val="21"/>
        </w:rPr>
        <w:t>Open the digest, or go straight to the board.</w:t>
      </w:r>
    </w:p>
    <w:p>
      <w:pPr>
        <w:pStyle w:val="ListNumber"/>
        <w:spacing w:after="60"/>
        <w:ind w:left="397"/>
      </w:pPr>
      <w:r>
        <w:rPr>
          <w:sz w:val="21"/>
        </w:rPr>
        <w:t>Read the "Since yesterday" line. New and worsening tickets are the only ones that have actually changed since you last looked.</w:t>
      </w:r>
    </w:p>
    <w:p>
      <w:pPr>
        <w:pStyle w:val="ListNumber"/>
        <w:spacing w:after="60"/>
        <w:ind w:left="397"/>
      </w:pPr>
      <w:r>
        <w:rPr>
          <w:sz w:val="21"/>
        </w:rPr>
        <w:t>Work down the ranked list from the top. Stop when the scores drop below about 45 — below that, nothing is usually wrong.</w:t>
      </w:r>
    </w:p>
    <w:p>
      <w:pPr>
        <w:pStyle w:val="ListNumber"/>
        <w:spacing w:after="60"/>
        <w:ind w:left="397"/>
      </w:pPr>
      <w:r>
        <w:rPr>
          <w:sz w:val="21"/>
        </w:rPr>
        <w:t>On each one, record a verdict. One click.</w:t>
      </w:r>
    </w:p>
    <w:p>
      <w:pPr>
        <w:pStyle w:val="ListNumber"/>
        <w:spacing w:after="60"/>
        <w:ind w:left="397"/>
      </w:pPr>
      <w:r>
        <w:rPr>
          <w:sz w:val="21"/>
        </w:rPr>
        <w:t>Check the Closure candidates block and deal with it as a batch.</w:t>
      </w:r>
    </w:p>
    <w:p>
      <w:pPr>
        <w:pStyle w:val="ListNumber"/>
        <w:spacing w:after="60"/>
        <w:ind w:left="397"/>
      </w:pPr>
      <w:r>
        <w:rPr>
          <w:sz w:val="21"/>
        </w:rPr>
        <w:t>Once a week, open By agent and Accuracy.</w:t>
      </w: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006300"/>
          <w:sz w:val="20"/>
        </w:rPr>
        <w:t xml:space="preserve">The point is that you stop reading tickets that are fine.  </w:t>
      </w:r>
      <w:r>
        <w:rPr>
          <w:color w:val="52514E"/>
          <w:sz w:val="20"/>
        </w:rPr>
        <w:t>On a typical day the top five to ten entries are the whole job. Everything below them has already been read and found to be progressing or legitimately waiting.</w:t>
      </w:r>
    </w:p>
    <w:p>
      <w:pPr>
        <w:pStyle w:val="Heading2"/>
      </w:pPr>
      <w:r>
        <w:t>5.2 Your digest, explained</w:t>
      </w:r>
    </w:p>
    <w:tbl>
      <w:tblPr>
        <w:tblStyle w:val="TableGrid"/>
        <w:tblW w:type="auto" w:w="0"/>
        <w:jc w:val="left"/>
        <w:tblLayout w:type="autofit"/>
        <w:tblLook w:firstColumn="1" w:firstRow="1" w:lastColumn="0" w:lastRow="0" w:noHBand="0" w:noVBand="1" w:val="04A0"/>
      </w:tblPr>
      <w:tblGrid>
        <w:gridCol w:w="4929"/>
        <w:gridCol w:w="4929"/>
      </w:tblGrid>
      <w:tr>
        <w:tc>
          <w:tcPr>
            <w:tcW w:type="dxa" w:w="2041"/>
            <w:shd w:val="clear" w:color="auto" w:fill="E8E8E3"/>
          </w:tcPr>
          <w:p>
            <w:pPr>
              <w:spacing w:after="40" w:before="40"/>
            </w:pPr>
            <w:r/>
            <w:r>
              <w:rPr>
                <w:b/>
                <w:sz w:val="19"/>
              </w:rPr>
              <w:t>Block</w:t>
            </w:r>
          </w:p>
        </w:tc>
        <w:tc>
          <w:tcPr>
            <w:tcW w:type="dxa" w:w="7257"/>
            <w:shd w:val="clear" w:color="auto" w:fill="E8E8E3"/>
          </w:tcPr>
          <w:p>
            <w:pPr>
              <w:spacing w:after="40" w:before="40"/>
            </w:pPr>
            <w:r/>
            <w:r>
              <w:rPr>
                <w:b/>
                <w:sz w:val="19"/>
              </w:rPr>
              <w:t>What it is for</w:t>
            </w:r>
          </w:p>
        </w:tc>
      </w:tr>
      <w:tr>
        <w:tc>
          <w:tcPr>
            <w:tcW w:type="dxa" w:w="2041"/>
          </w:tcPr>
          <w:p>
            <w:pPr>
              <w:spacing w:after="40" w:before="40"/>
            </w:pPr>
            <w:r/>
            <w:r>
              <w:rPr>
                <w:sz w:val="19"/>
              </w:rPr>
              <w:t>Eight summary tiles</w:t>
            </w:r>
          </w:p>
        </w:tc>
        <w:tc>
          <w:tcPr>
            <w:tcW w:type="dxa" w:w="7257"/>
          </w:tcPr>
          <w:p>
            <w:pPr>
              <w:spacing w:after="40" w:before="40"/>
            </w:pPr>
            <w:r/>
            <w:r>
              <w:rPr>
                <w:sz w:val="19"/>
              </w:rPr>
              <w:t>The composition of the backlog at a glance. "Awaiting Service Desk" is the figure that matters — it represents the actual workload</w:t>
            </w:r>
          </w:p>
        </w:tc>
      </w:tr>
      <w:tr>
        <w:tc>
          <w:tcPr>
            <w:tcW w:type="dxa" w:w="2041"/>
          </w:tcPr>
          <w:p>
            <w:pPr>
              <w:spacing w:after="40" w:before="40"/>
            </w:pPr>
            <w:r/>
            <w:r>
              <w:rPr>
                <w:sz w:val="19"/>
              </w:rPr>
              <w:t>Since yesterday</w:t>
            </w:r>
          </w:p>
        </w:tc>
        <w:tc>
          <w:tcPr>
            <w:tcW w:type="dxa" w:w="7257"/>
          </w:tcPr>
          <w:p>
            <w:pPr>
              <w:spacing w:after="40" w:before="40"/>
            </w:pPr>
            <w:r/>
            <w:r>
              <w:rPr>
                <w:sz w:val="19"/>
              </w:rPr>
              <w:t>Newly aged and newly worse. If you are short of time, read only this</w:t>
            </w:r>
          </w:p>
        </w:tc>
      </w:tr>
      <w:tr>
        <w:tc>
          <w:tcPr>
            <w:tcW w:type="dxa" w:w="2041"/>
          </w:tcPr>
          <w:p>
            <w:pPr>
              <w:spacing w:after="40" w:before="40"/>
            </w:pPr>
            <w:r/>
            <w:r>
              <w:rPr>
                <w:sz w:val="19"/>
              </w:rPr>
              <w:t>Ranked list</w:t>
            </w:r>
          </w:p>
        </w:tc>
        <w:tc>
          <w:tcPr>
            <w:tcW w:type="dxa" w:w="7257"/>
          </w:tcPr>
          <w:p>
            <w:pPr>
              <w:spacing w:after="40" w:before="40"/>
            </w:pPr>
            <w:r/>
            <w:r>
              <w:rPr>
                <w:sz w:val="19"/>
              </w:rPr>
              <w:t>Up to 25 tickets, worst first, each with the suggestion and why it ranks where it does</w:t>
            </w:r>
          </w:p>
        </w:tc>
      </w:tr>
      <w:tr>
        <w:tc>
          <w:tcPr>
            <w:tcW w:type="dxa" w:w="2041"/>
          </w:tcPr>
          <w:p>
            <w:pPr>
              <w:spacing w:after="40" w:before="40"/>
            </w:pPr>
            <w:r/>
            <w:r>
              <w:rPr>
                <w:sz w:val="19"/>
              </w:rPr>
              <w:t>Closure candidates</w:t>
            </w:r>
          </w:p>
        </w:tc>
        <w:tc>
          <w:tcPr>
            <w:tcW w:type="dxa" w:w="7257"/>
          </w:tcPr>
          <w:p>
            <w:pPr>
              <w:spacing w:after="40" w:before="40"/>
            </w:pPr>
            <w:r/>
            <w:r>
              <w:rPr>
                <w:sz w:val="19"/>
              </w:rPr>
              <w:t>Follow-ups exhausted and caller silent. Process as a batch rather than individually</w:t>
            </w:r>
          </w:p>
        </w:tc>
      </w:tr>
      <w:tr>
        <w:tc>
          <w:tcPr>
            <w:tcW w:type="dxa" w:w="2041"/>
          </w:tcPr>
          <w:p>
            <w:pPr>
              <w:spacing w:after="40" w:before="40"/>
            </w:pPr>
            <w:r/>
            <w:r>
              <w:rPr>
                <w:sz w:val="19"/>
              </w:rPr>
              <w:t>By agent</w:t>
            </w:r>
          </w:p>
        </w:tc>
        <w:tc>
          <w:tcPr>
            <w:tcW w:type="dxa" w:w="7257"/>
          </w:tcPr>
          <w:p>
            <w:pPr>
              <w:spacing w:after="40" w:before="40"/>
            </w:pPr>
            <w:r/>
            <w:r>
              <w:rPr>
                <w:sz w:val="19"/>
              </w:rPr>
              <w:t>Who is holding what, worst first, with their audit compliance average if that link is enabled</w:t>
            </w:r>
          </w:p>
        </w:tc>
      </w:tr>
    </w:tbl>
    <w:p>
      <w:pPr>
        <w:spacing w:after="80"/>
      </w:pPr>
    </w:p>
    <w:p>
      <w:pPr>
        <w:pStyle w:val="Heading2"/>
      </w:pPr>
      <w:r>
        <w:t>5.3 The board</w:t>
      </w:r>
    </w:p>
    <w:p>
      <w:r>
        <w:rPr>
          <w:b w:val="0"/>
          <w:i w:val="0"/>
          <w:sz w:val="21"/>
        </w:rPr>
        <w:t>Everything in the digest, live and filterable.</w:t>
      </w:r>
    </w:p>
    <w:p>
      <w:r>
        <w:rPr>
          <w:b w:val="0"/>
          <w:i w:val="0"/>
          <w:sz w:val="21"/>
        </w:rPr>
        <w:t>The assignment group selector sits in the navigation bar at the top of every page, because it applies to all of them — the board, By agent and the digest preview. It lists only the groups your account is entitled to, so it also answers "what can I see". Leave it on "All my groups" for the morning review and narrow it when you want one queue. The choice travels in the page address, so a board you send a colleague is the board you were looking at.</w:t>
      </w:r>
    </w:p>
    <w:p>
      <w:r>
        <w:rPr>
          <w:b w:val="0"/>
          <w:i w:val="0"/>
          <w:sz w:val="21"/>
        </w:rPr>
        <w:t>The remaining filters apply within whichever group is selected. The ones that get the most use:</w:t>
      </w:r>
    </w:p>
    <w:tbl>
      <w:tblPr>
        <w:tblStyle w:val="TableGrid"/>
        <w:tblW w:type="auto" w:w="0"/>
        <w:jc w:val="left"/>
        <w:tblLayout w:type="autofit"/>
        <w:tblLook w:firstColumn="1" w:firstRow="1" w:lastColumn="0" w:lastRow="0" w:noHBand="0" w:noVBand="1" w:val="04A0"/>
      </w:tblPr>
      <w:tblGrid>
        <w:gridCol w:w="4929"/>
        <w:gridCol w:w="4929"/>
      </w:tblGrid>
      <w:tr>
        <w:tc>
          <w:tcPr>
            <w:tcW w:type="dxa" w:w="3175"/>
            <w:shd w:val="clear" w:color="auto" w:fill="E8E8E3"/>
          </w:tcPr>
          <w:p>
            <w:pPr>
              <w:spacing w:after="40" w:before="40"/>
            </w:pPr>
            <w:r/>
            <w:r>
              <w:rPr>
                <w:b/>
                <w:sz w:val="19"/>
              </w:rPr>
              <w:t>Filter</w:t>
            </w:r>
          </w:p>
        </w:tc>
        <w:tc>
          <w:tcPr>
            <w:tcW w:type="dxa" w:w="6123"/>
            <w:shd w:val="clear" w:color="auto" w:fill="E8E8E3"/>
          </w:tcPr>
          <w:p>
            <w:pPr>
              <w:spacing w:after="40" w:before="40"/>
            </w:pPr>
            <w:r/>
            <w:r>
              <w:rPr>
                <w:b/>
                <w:sz w:val="19"/>
              </w:rPr>
              <w:t>Use it to answer</w:t>
            </w:r>
          </w:p>
        </w:tc>
      </w:tr>
      <w:tr>
        <w:tc>
          <w:tcPr>
            <w:tcW w:type="dxa" w:w="3175"/>
          </w:tcPr>
          <w:p>
            <w:pPr>
              <w:spacing w:after="40" w:before="40"/>
            </w:pPr>
            <w:r/>
            <w:r>
              <w:rPr>
                <w:sz w:val="19"/>
              </w:rPr>
              <w:t>Pending action owner = Assigned team</w:t>
            </w:r>
          </w:p>
        </w:tc>
        <w:tc>
          <w:tcPr>
            <w:tcW w:type="dxa" w:w="6123"/>
          </w:tcPr>
          <w:p>
            <w:pPr>
              <w:spacing w:after="40" w:before="40"/>
            </w:pPr>
            <w:r/>
            <w:r>
              <w:rPr>
                <w:sz w:val="19"/>
              </w:rPr>
              <w:t>"What requires action from us this morning?"</w:t>
            </w:r>
          </w:p>
        </w:tc>
      </w:tr>
      <w:tr>
        <w:tc>
          <w:tcPr>
            <w:tcW w:type="dxa" w:w="3175"/>
          </w:tcPr>
          <w:p>
            <w:pPr>
              <w:spacing w:after="40" w:before="40"/>
            </w:pPr>
            <w:r/>
            <w:r>
              <w:rPr>
                <w:sz w:val="19"/>
              </w:rPr>
              <w:t>Risk flag = Caller awaiting response</w:t>
            </w:r>
          </w:p>
        </w:tc>
        <w:tc>
          <w:tcPr>
            <w:tcW w:type="dxa" w:w="6123"/>
          </w:tcPr>
          <w:p>
            <w:pPr>
              <w:spacing w:after="40" w:before="40"/>
            </w:pPr>
            <w:r/>
            <w:r>
              <w:rPr>
                <w:sz w:val="19"/>
              </w:rPr>
              <w:t>"Which callers are awaiting a reply?"</w:t>
            </w:r>
          </w:p>
        </w:tc>
      </w:tr>
      <w:tr>
        <w:tc>
          <w:tcPr>
            <w:tcW w:type="dxa" w:w="3175"/>
          </w:tcPr>
          <w:p>
            <w:pPr>
              <w:spacing w:after="40" w:before="40"/>
            </w:pPr>
            <w:r/>
            <w:r>
              <w:rPr>
                <w:sz w:val="19"/>
              </w:rPr>
              <w:t>Risk flag = Dependency already closed</w:t>
            </w:r>
          </w:p>
        </w:tc>
        <w:tc>
          <w:tcPr>
            <w:tcW w:type="dxa" w:w="6123"/>
          </w:tcPr>
          <w:p>
            <w:pPr>
              <w:spacing w:after="40" w:before="40"/>
            </w:pPr>
            <w:r/>
            <w:r>
              <w:rPr>
                <w:sz w:val="19"/>
              </w:rPr>
              <w:t>"What is held with no remaining reason?"</w:t>
            </w:r>
          </w:p>
        </w:tc>
      </w:tr>
      <w:tr>
        <w:tc>
          <w:tcPr>
            <w:tcW w:type="dxa" w:w="3175"/>
          </w:tcPr>
          <w:p>
            <w:pPr>
              <w:spacing w:after="40" w:before="40"/>
            </w:pPr>
            <w:r/>
            <w:r>
              <w:rPr>
                <w:sz w:val="19"/>
              </w:rPr>
              <w:t>Suggested step = Close - no caller response</w:t>
            </w:r>
          </w:p>
        </w:tc>
        <w:tc>
          <w:tcPr>
            <w:tcW w:type="dxa" w:w="6123"/>
          </w:tcPr>
          <w:p>
            <w:pPr>
              <w:spacing w:after="40" w:before="40"/>
            </w:pPr>
            <w:r/>
            <w:r>
              <w:rPr>
                <w:sz w:val="19"/>
              </w:rPr>
              <w:t>"What can be cleared?"</w:t>
            </w:r>
          </w:p>
        </w:tc>
      </w:tr>
      <w:tr>
        <w:tc>
          <w:tcPr>
            <w:tcW w:type="dxa" w:w="3175"/>
          </w:tcPr>
          <w:p>
            <w:pPr>
              <w:spacing w:after="40" w:before="40"/>
            </w:pPr>
            <w:r/>
            <w:r>
              <w:rPr>
                <w:sz w:val="19"/>
              </w:rPr>
              <w:t>Agent = &lt;name&gt;</w:t>
            </w:r>
          </w:p>
        </w:tc>
        <w:tc>
          <w:tcPr>
            <w:tcW w:type="dxa" w:w="6123"/>
          </w:tcPr>
          <w:p>
            <w:pPr>
              <w:spacing w:after="40" w:before="40"/>
            </w:pPr>
            <w:r/>
            <w:r>
              <w:rPr>
                <w:sz w:val="19"/>
              </w:rPr>
              <w:t>Prepare for a one-to-one</w:t>
            </w:r>
          </w:p>
        </w:tc>
      </w:tr>
      <w:tr>
        <w:tc>
          <w:tcPr>
            <w:tcW w:type="dxa" w:w="3175"/>
          </w:tcPr>
          <w:p>
            <w:pPr>
              <w:spacing w:after="40" w:before="40"/>
            </w:pPr>
            <w:r/>
            <w:r>
              <w:rPr>
                <w:sz w:val="19"/>
              </w:rPr>
              <w:t>Min score = 70</w:t>
            </w:r>
          </w:p>
        </w:tc>
        <w:tc>
          <w:tcPr>
            <w:tcW w:type="dxa" w:w="6123"/>
          </w:tcPr>
          <w:p>
            <w:pPr>
              <w:spacing w:after="40" w:before="40"/>
            </w:pPr>
            <w:r/>
            <w:r>
              <w:rPr>
                <w:sz w:val="19"/>
              </w:rPr>
              <w:t>"Show only the most urgent incidents"</w:t>
            </w:r>
          </w:p>
        </w:tc>
      </w:tr>
    </w:tbl>
    <w:p>
      <w:pPr>
        <w:spacing w:after="80"/>
      </w:pPr>
    </w:p>
    <w:p>
      <w:pPr>
        <w:pStyle w:val="Heading2"/>
      </w:pPr>
      <w:r>
        <w:t>5.4 Recording verdicts — the most important thing you do</w:t>
      </w: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Without verdicts there are no accuracy numbers.  </w:t>
      </w:r>
      <w:r>
        <w:rPr>
          <w:color w:val="52514E"/>
          <w:sz w:val="20"/>
        </w:rPr>
        <w:t>The claim "this tool is 84% accurate" is only meaningful because leads pressed buttons. If nobody records verdicts, nobody can tell whether the suggestions are any good, and the honest answer to "should we trust it?" stays "we do not know".</w:t>
      </w:r>
    </w:p>
    <w:p>
      <w:r>
        <w:rPr>
          <w:b w:val="0"/>
          <w:i w:val="0"/>
          <w:sz w:val="21"/>
        </w:rPr>
        <w:t>On any ticket page, the Your verdict panel offers five options: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928"/>
            <w:shd w:val="clear" w:color="auto" w:fill="E8E8E3"/>
          </w:tcPr>
          <w:p>
            <w:pPr>
              <w:spacing w:after="40" w:before="40"/>
            </w:pPr>
            <w:r/>
            <w:r>
              <w:rPr>
                <w:b/>
                <w:sz w:val="19"/>
              </w:rPr>
              <w:t>Verdict</w:t>
            </w:r>
          </w:p>
        </w:tc>
        <w:tc>
          <w:tcPr>
            <w:tcW w:type="dxa" w:w="3402"/>
            <w:shd w:val="clear" w:color="auto" w:fill="E8E8E3"/>
          </w:tcPr>
          <w:p>
            <w:pPr>
              <w:spacing w:after="40" w:before="40"/>
            </w:pPr>
            <w:r/>
            <w:r>
              <w:rPr>
                <w:b/>
                <w:sz w:val="19"/>
              </w:rPr>
              <w:t>Use when</w:t>
            </w:r>
          </w:p>
        </w:tc>
        <w:tc>
          <w:tcPr>
            <w:tcW w:type="dxa" w:w="3969"/>
            <w:shd w:val="clear" w:color="auto" w:fill="E8E8E3"/>
          </w:tcPr>
          <w:p>
            <w:pPr>
              <w:spacing w:after="40" w:before="40"/>
            </w:pPr>
            <w:r/>
            <w:r>
              <w:rPr>
                <w:b/>
                <w:sz w:val="19"/>
              </w:rPr>
              <w:t>Side effect</w:t>
            </w:r>
          </w:p>
        </w:tc>
      </w:tr>
      <w:tr>
        <w:tc>
          <w:tcPr>
            <w:tcW w:type="dxa" w:w="1928"/>
          </w:tcPr>
          <w:p>
            <w:pPr>
              <w:spacing w:after="40" w:before="40"/>
            </w:pPr>
            <w:r/>
            <w:r>
              <w:rPr>
                <w:sz w:val="19"/>
              </w:rPr>
              <w:t>Agree</w:t>
            </w:r>
          </w:p>
        </w:tc>
        <w:tc>
          <w:tcPr>
            <w:tcW w:type="dxa" w:w="3402"/>
          </w:tcPr>
          <w:p>
            <w:pPr>
              <w:spacing w:after="40" w:before="40"/>
            </w:pPr>
            <w:r/>
            <w:r>
              <w:rPr>
                <w:sz w:val="19"/>
              </w:rPr>
              <w:t>The suggested action is what you would have done</w:t>
            </w:r>
          </w:p>
        </w:tc>
        <w:tc>
          <w:tcPr>
            <w:tcW w:type="dxa" w:w="3969"/>
          </w:tcPr>
          <w:p>
            <w:pPr>
              <w:spacing w:after="40" w:before="40"/>
            </w:pPr>
            <w:r/>
            <w:r>
              <w:rPr>
                <w:sz w:val="19"/>
              </w:rPr>
              <w:t>Counts towards agreement</w:t>
            </w:r>
          </w:p>
        </w:tc>
      </w:tr>
      <w:tr>
        <w:tc>
          <w:tcPr>
            <w:tcW w:type="dxa" w:w="1928"/>
          </w:tcPr>
          <w:p>
            <w:pPr>
              <w:spacing w:after="40" w:before="40"/>
            </w:pPr>
            <w:r/>
            <w:r>
              <w:rPr>
                <w:sz w:val="19"/>
              </w:rPr>
              <w:t>Mostly right — I adjusted it</w:t>
            </w:r>
          </w:p>
        </w:tc>
        <w:tc>
          <w:tcPr>
            <w:tcW w:type="dxa" w:w="3402"/>
          </w:tcPr>
          <w:p>
            <w:pPr>
              <w:spacing w:after="40" w:before="40"/>
            </w:pPr>
            <w:r/>
            <w:r>
              <w:rPr>
                <w:sz w:val="19"/>
              </w:rPr>
              <w:t>Right direction, wrong detail</w:t>
            </w:r>
          </w:p>
        </w:tc>
        <w:tc>
          <w:tcPr>
            <w:tcW w:type="dxa" w:w="3969"/>
          </w:tcPr>
          <w:p>
            <w:pPr>
              <w:spacing w:after="40" w:before="40"/>
            </w:pPr>
            <w:r/>
            <w:r>
              <w:rPr>
                <w:sz w:val="19"/>
              </w:rPr>
              <w:t>Counts towards agreement</w:t>
            </w:r>
          </w:p>
        </w:tc>
      </w:tr>
      <w:tr>
        <w:tc>
          <w:tcPr>
            <w:tcW w:type="dxa" w:w="1928"/>
          </w:tcPr>
          <w:p>
            <w:pPr>
              <w:spacing w:after="40" w:before="40"/>
            </w:pPr>
            <w:r/>
            <w:r>
              <w:rPr>
                <w:sz w:val="19"/>
              </w:rPr>
              <w:t>Wrong</w:t>
            </w:r>
          </w:p>
        </w:tc>
        <w:tc>
          <w:tcPr>
            <w:tcW w:type="dxa" w:w="3402"/>
          </w:tcPr>
          <w:p>
            <w:pPr>
              <w:spacing w:after="40" w:before="40"/>
            </w:pPr>
            <w:r/>
            <w:r>
              <w:rPr>
                <w:sz w:val="19"/>
              </w:rPr>
              <w:t>Not the right action for this ticket</w:t>
            </w:r>
          </w:p>
        </w:tc>
        <w:tc>
          <w:tcPr>
            <w:tcW w:type="dxa" w:w="3969"/>
          </w:tcPr>
          <w:p>
            <w:pPr>
              <w:spacing w:after="40" w:before="40"/>
            </w:pPr>
            <w:r/>
            <w:r>
              <w:rPr>
                <w:sz w:val="19"/>
              </w:rPr>
              <w:t>Counts against. This is the useful one</w:t>
            </w:r>
          </w:p>
        </w:tc>
      </w:tr>
      <w:tr>
        <w:tc>
          <w:tcPr>
            <w:tcW w:type="dxa" w:w="1928"/>
          </w:tcPr>
          <w:p>
            <w:pPr>
              <w:spacing w:after="40" w:before="40"/>
            </w:pPr>
            <w:r/>
            <w:r>
              <w:rPr>
                <w:sz w:val="19"/>
              </w:rPr>
              <w:t>Not applicable</w:t>
            </w:r>
          </w:p>
        </w:tc>
        <w:tc>
          <w:tcPr>
            <w:tcW w:type="dxa" w:w="3402"/>
          </w:tcPr>
          <w:p>
            <w:pPr>
              <w:spacing w:after="40" w:before="40"/>
            </w:pPr>
            <w:r/>
            <w:r>
              <w:rPr>
                <w:sz w:val="19"/>
              </w:rPr>
              <w:t>This should not have been flagged at all</w:t>
            </w:r>
          </w:p>
        </w:tc>
        <w:tc>
          <w:tcPr>
            <w:tcW w:type="dxa" w:w="3969"/>
          </w:tcPr>
          <w:p>
            <w:pPr>
              <w:spacing w:after="40" w:before="40"/>
            </w:pPr>
            <w:r/>
            <w:r>
              <w:rPr>
                <w:sz w:val="19"/>
              </w:rPr>
              <w:t>Counts against precision, and snoozes it for 48 hours</w:t>
            </w:r>
          </w:p>
        </w:tc>
      </w:tr>
      <w:tr>
        <w:tc>
          <w:tcPr>
            <w:tcW w:type="dxa" w:w="1928"/>
          </w:tcPr>
          <w:p>
            <w:pPr>
              <w:spacing w:after="40" w:before="40"/>
            </w:pPr>
            <w:r/>
            <w:r>
              <w:rPr>
                <w:sz w:val="19"/>
              </w:rPr>
              <w:t>Already handled</w:t>
            </w:r>
          </w:p>
        </w:tc>
        <w:tc>
          <w:tcPr>
            <w:tcW w:type="dxa" w:w="3402"/>
          </w:tcPr>
          <w:p>
            <w:pPr>
              <w:spacing w:after="40" w:before="40"/>
            </w:pPr>
            <w:r/>
            <w:r>
              <w:rPr>
                <w:sz w:val="19"/>
              </w:rPr>
              <w:t>You dealt with it before you saw the suggestion</w:t>
            </w:r>
          </w:p>
        </w:tc>
        <w:tc>
          <w:tcPr>
            <w:tcW w:type="dxa" w:w="3969"/>
          </w:tcPr>
          <w:p>
            <w:pPr>
              <w:spacing w:after="40" w:before="40"/>
            </w:pPr>
            <w:r/>
            <w:r>
              <w:rPr>
                <w:sz w:val="19"/>
              </w:rPr>
              <w:t>Excluded from precision, and snoozes it for 48 hours</w:t>
            </w:r>
          </w:p>
        </w:tc>
      </w:tr>
    </w:tbl>
    <w:p>
      <w:pPr>
        <w:spacing w:after="80"/>
      </w:pPr>
    </w:p>
    <w:p>
      <w:r>
        <w:rPr>
          <w:b w:val="0"/>
          <w:i w:val="0"/>
          <w:sz w:val="21"/>
        </w:rPr>
        <w:t>The optional "what you actually did" dropdown is worth using when you disagree — it is the difference between knowing the tool was wrong and knowing what it should have said.</w:t>
      </w:r>
    </w:p>
    <w:p>
      <w:pPr>
        <w:pStyle w:val="Heading2"/>
      </w:pPr>
      <w:r>
        <w:t>5.5 Snoozing</w:t>
      </w:r>
    </w:p>
    <w:p>
      <w:r>
        <w:rPr>
          <w:b w:val="0"/>
          <w:i w:val="0"/>
          <w:sz w:val="21"/>
        </w:rPr>
        <w:t>If you have dealt with a ticket and do not want to see it again for a while, snooze it for 24 hours, 2 days, 3 days or a week. Snoozed tickets disappear from the board and the digests until the time expires.</w:t>
      </w: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Use it freely.  </w:t>
      </w:r>
      <w:r>
        <w:rPr>
          <w:color w:val="52514E"/>
          <w:sz w:val="20"/>
        </w:rPr>
        <w:t>A tool that keeps raising a ticket you have already handled trains you to ignore it. Snoozing is not hiding a problem; it is telling the tool you have this one. You can always see snoozed tickets with the "Include snoozed" checkbox.</w:t>
      </w:r>
    </w:p>
    <w:p>
      <w:pPr>
        <w:pStyle w:val="Heading2"/>
      </w:pPr>
      <w:r>
        <w:t>5.6 The By agent page</w:t>
      </w:r>
    </w:p>
    <w:p>
      <w:r>
        <w:rPr>
          <w:b w:val="0"/>
          <w:i w:val="0"/>
          <w:sz w:val="21"/>
        </w:rPr>
        <w:t>Per-agent rollup, sorted worst-first by their highest-scoring ticket. Columns: aged count, worst score, average idle days, SLA breaches, tickets stale four days or more, callers waiting, and KB gaps.</w:t>
      </w:r>
    </w:p>
    <w:p>
      <w:r>
        <w:rPr>
          <w:b w:val="0"/>
          <w:i w:val="0"/>
          <w:sz w:val="21"/>
        </w:rPr>
        <w:t>If the link to the ticket audit tool is enabled, there is also a 30-day compliance average from that system. The combination is genuinely new information: "nine aged tickets" is a workload observation, but "nine aged tickets, all stalled on hold without follow-up, alongside a 52% closure-note compliance average" is a specific, evidenced coaching conversation.</w:t>
      </w: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Use it as a conversation starter, not a league table.  </w:t>
      </w:r>
      <w:r>
        <w:rPr>
          <w:color w:val="52514E"/>
          <w:sz w:val="20"/>
        </w:rPr>
        <w:t>High numbers frequently mean a hard queue, a period of leave, or an unlucky allocation rather than poor performance. Open the actual tickets before drawing a conclusion — the page links straight to them. Treating this as a ranking is the fastest way to lose the team's trust in the whole tool.</w:t>
      </w:r>
    </w:p>
    <w:p>
      <w:pPr>
        <w:pStyle w:val="Heading2"/>
      </w:pPr>
      <w:r>
        <w:t>5.7 The Accuracy page</w:t>
      </w:r>
    </w:p>
    <w:p>
      <w:r>
        <w:rPr>
          <w:b w:val="0"/>
          <w:i w:val="0"/>
          <w:sz w:val="21"/>
        </w:rPr>
        <w:t>Four numbers, all derived from the verdicts you record.</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928"/>
            <w:shd w:val="clear" w:color="auto" w:fill="E8E8E3"/>
          </w:tcPr>
          <w:p>
            <w:pPr>
              <w:spacing w:after="40" w:before="40"/>
            </w:pPr>
            <w:r/>
            <w:r>
              <w:rPr>
                <w:b/>
                <w:sz w:val="19"/>
              </w:rPr>
              <w:t>Metric</w:t>
            </w:r>
          </w:p>
        </w:tc>
        <w:tc>
          <w:tcPr>
            <w:tcW w:type="dxa" w:w="5102"/>
            <w:shd w:val="clear" w:color="auto" w:fill="E8E8E3"/>
          </w:tcPr>
          <w:p>
            <w:pPr>
              <w:spacing w:after="40" w:before="40"/>
            </w:pPr>
            <w:r/>
            <w:r>
              <w:rPr>
                <w:b/>
                <w:sz w:val="19"/>
              </w:rPr>
              <w:t>Question it answers</w:t>
            </w:r>
          </w:p>
        </w:tc>
        <w:tc>
          <w:tcPr>
            <w:tcW w:type="dxa" w:w="2268"/>
            <w:shd w:val="clear" w:color="auto" w:fill="E8E8E3"/>
          </w:tcPr>
          <w:p>
            <w:pPr>
              <w:spacing w:after="40" w:before="40"/>
            </w:pPr>
            <w:r/>
            <w:r>
              <w:rPr>
                <w:b/>
                <w:sz w:val="19"/>
              </w:rPr>
              <w:t>Target</w:t>
            </w:r>
          </w:p>
        </w:tc>
      </w:tr>
      <w:tr>
        <w:tc>
          <w:tcPr>
            <w:tcW w:type="dxa" w:w="1928"/>
          </w:tcPr>
          <w:p>
            <w:pPr>
              <w:spacing w:after="40" w:before="40"/>
            </w:pPr>
            <w:r/>
            <w:r>
              <w:rPr>
                <w:sz w:val="19"/>
              </w:rPr>
              <w:t>Action agreement</w:t>
            </w:r>
          </w:p>
        </w:tc>
        <w:tc>
          <w:tcPr>
            <w:tcW w:type="dxa" w:w="5102"/>
          </w:tcPr>
          <w:p>
            <w:pPr>
              <w:spacing w:after="40" w:before="40"/>
            </w:pPr>
            <w:r/>
            <w:r>
              <w:rPr>
                <w:sz w:val="19"/>
              </w:rPr>
              <w:t>When we suggested something, was it the right thing?</w:t>
            </w:r>
          </w:p>
        </w:tc>
        <w:tc>
          <w:tcPr>
            <w:tcW w:type="dxa" w:w="2268"/>
          </w:tcPr>
          <w:p>
            <w:pPr>
              <w:spacing w:after="40" w:before="40"/>
            </w:pPr>
            <w:r/>
            <w:r>
              <w:rPr>
                <w:sz w:val="19"/>
              </w:rPr>
              <w:t>80% or better</w:t>
            </w:r>
          </w:p>
        </w:tc>
      </w:tr>
      <w:tr>
        <w:tc>
          <w:tcPr>
            <w:tcW w:type="dxa" w:w="1928"/>
          </w:tcPr>
          <w:p>
            <w:pPr>
              <w:spacing w:after="40" w:before="40"/>
            </w:pPr>
            <w:r/>
            <w:r>
              <w:rPr>
                <w:sz w:val="19"/>
              </w:rPr>
              <w:t>Actionable precision</w:t>
            </w:r>
          </w:p>
        </w:tc>
        <w:tc>
          <w:tcPr>
            <w:tcW w:type="dxa" w:w="5102"/>
          </w:tcPr>
          <w:p>
            <w:pPr>
              <w:spacing w:after="40" w:before="40"/>
            </w:pPr>
            <w:r/>
            <w:r>
              <w:rPr>
                <w:sz w:val="19"/>
              </w:rPr>
              <w:t>When we flagged a ticket, did it deserve flagging?</w:t>
            </w:r>
          </w:p>
        </w:tc>
        <w:tc>
          <w:tcPr>
            <w:tcW w:type="dxa" w:w="2268"/>
          </w:tcPr>
          <w:p>
            <w:pPr>
              <w:spacing w:after="40" w:before="40"/>
            </w:pPr>
            <w:r/>
            <w:r>
              <w:rPr>
                <w:sz w:val="19"/>
              </w:rPr>
              <w:t>85% or better</w:t>
            </w:r>
          </w:p>
        </w:tc>
      </w:tr>
      <w:tr>
        <w:tc>
          <w:tcPr>
            <w:tcW w:type="dxa" w:w="1928"/>
          </w:tcPr>
          <w:p>
            <w:pPr>
              <w:spacing w:after="40" w:before="40"/>
            </w:pPr>
            <w:r/>
            <w:r>
              <w:rPr>
                <w:sz w:val="19"/>
              </w:rPr>
              <w:t>Review coverage</w:t>
            </w:r>
          </w:p>
        </w:tc>
        <w:tc>
          <w:tcPr>
            <w:tcW w:type="dxa" w:w="5102"/>
          </w:tcPr>
          <w:p>
            <w:pPr>
              <w:spacing w:after="40" w:before="40"/>
            </w:pPr>
            <w:r/>
            <w:r>
              <w:rPr>
                <w:sz w:val="19"/>
              </w:rPr>
              <w:t>How many suggestions were actually judged? Low coverage means the first two numbers come from a small, self-selected sample</w:t>
            </w:r>
          </w:p>
        </w:tc>
        <w:tc>
          <w:tcPr>
            <w:tcW w:type="dxa" w:w="2268"/>
          </w:tcPr>
          <w:p>
            <w:pPr>
              <w:spacing w:after="40" w:before="40"/>
            </w:pPr>
            <w:r/>
            <w:r>
              <w:rPr>
                <w:sz w:val="19"/>
              </w:rPr>
              <w:t>As high as you can manage</w:t>
            </w:r>
          </w:p>
        </w:tc>
      </w:tr>
      <w:tr>
        <w:tc>
          <w:tcPr>
            <w:tcW w:type="dxa" w:w="1928"/>
          </w:tcPr>
          <w:p>
            <w:pPr>
              <w:spacing w:after="40" w:before="40"/>
            </w:pPr>
            <w:r/>
            <w:r>
              <w:rPr>
                <w:sz w:val="19"/>
              </w:rPr>
              <w:t>Silent breaches</w:t>
            </w:r>
          </w:p>
        </w:tc>
        <w:tc>
          <w:tcPr>
            <w:tcW w:type="dxa" w:w="5102"/>
          </w:tcPr>
          <w:p>
            <w:pPr>
              <w:spacing w:after="40" w:before="40"/>
            </w:pPr>
            <w:r/>
            <w:r>
              <w:rPr>
                <w:sz w:val="19"/>
              </w:rPr>
              <w:t>Tickets that breached with no prior warning. The opposite failure — not a wrong alert, a missing one</w:t>
            </w:r>
          </w:p>
        </w:tc>
        <w:tc>
          <w:tcPr>
            <w:tcW w:type="dxa" w:w="2268"/>
          </w:tcPr>
          <w:p>
            <w:pPr>
              <w:spacing w:after="40" w:before="40"/>
            </w:pPr>
            <w:r/>
            <w:r>
              <w:rPr>
                <w:sz w:val="19"/>
              </w:rPr>
              <w:t>0</w:t>
            </w:r>
          </w:p>
        </w:tc>
      </w:tr>
    </w:tbl>
    <w:p>
      <w:pPr>
        <w:spacing w:after="80"/>
      </w:pPr>
    </w:p>
    <w:p>
      <w:r>
        <w:rPr>
          <w:b w:val="0"/>
          <w:i w:val="0"/>
          <w:sz w:val="21"/>
        </w:rPr>
        <w:t>The Agreement by suggested action table is where the useful detail is. It is common for a tool like this to be reliable on some kinds of decision and weak on others. If "Follow up with caller" agrees 90% of the time and "Reassign" agrees 55%, then trust the first and check the second — and raise the second with whoever maintains the tool.</w:t>
      </w:r>
    </w:p>
    <w:p>
      <w:pPr>
        <w:pStyle w:val="Heading2"/>
      </w:pPr>
      <w:r>
        <w:t>5.8 Tuning</w:t>
      </w:r>
    </w:p>
    <w:p>
      <w:r>
        <w:rPr>
          <w:b w:val="0"/>
          <w:i w:val="0"/>
          <w:sz w:val="21"/>
        </w:rPr>
        <w:t>Administrators can adjust how the score is calculated at Settings → Weights. The seven ingredients must total 100.</w:t>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If leads say</w:t>
            </w:r>
          </w:p>
        </w:tc>
        <w:tc>
          <w:tcPr>
            <w:tcW w:type="dxa" w:w="6463"/>
            <w:shd w:val="clear" w:color="auto" w:fill="E8E8E3"/>
          </w:tcPr>
          <w:p>
            <w:pPr>
              <w:spacing w:after="40" w:before="40"/>
            </w:pPr>
            <w:r/>
            <w:r>
              <w:rPr>
                <w:b/>
                <w:sz w:val="19"/>
              </w:rPr>
              <w:t>Consider</w:t>
            </w:r>
          </w:p>
        </w:tc>
      </w:tr>
      <w:tr>
        <w:tc>
          <w:tcPr>
            <w:tcW w:type="dxa" w:w="2835"/>
          </w:tcPr>
          <w:p>
            <w:pPr>
              <w:spacing w:after="40" w:before="40"/>
            </w:pPr>
            <w:r/>
            <w:r>
              <w:rPr>
                <w:sz w:val="19"/>
              </w:rPr>
              <w:t>"It flags too much"</w:t>
            </w:r>
          </w:p>
        </w:tc>
        <w:tc>
          <w:tcPr>
            <w:tcW w:type="dxa" w:w="6463"/>
          </w:tcPr>
          <w:p>
            <w:pPr>
              <w:spacing w:after="40" w:before="40"/>
            </w:pPr>
            <w:r/>
            <w:r>
              <w:rPr>
                <w:sz w:val="19"/>
              </w:rPr>
              <w:t>Raise the aged threshold from 5 days, or narrow the groups in scope</w:t>
            </w:r>
          </w:p>
        </w:tc>
      </w:tr>
      <w:tr>
        <w:tc>
          <w:tcPr>
            <w:tcW w:type="dxa" w:w="2835"/>
          </w:tcPr>
          <w:p>
            <w:pPr>
              <w:spacing w:after="40" w:before="40"/>
            </w:pPr>
            <w:r/>
            <w:r>
              <w:rPr>
                <w:sz w:val="19"/>
              </w:rPr>
              <w:t>"The order feels wrong"</w:t>
            </w:r>
          </w:p>
        </w:tc>
        <w:tc>
          <w:tcPr>
            <w:tcW w:type="dxa" w:w="6463"/>
          </w:tcPr>
          <w:p>
            <w:pPr>
              <w:spacing w:after="40" w:before="40"/>
            </w:pPr>
            <w:r/>
            <w:r>
              <w:rPr>
                <w:sz w:val="19"/>
              </w:rPr>
              <w:t>Raise Stagnation if untouched tickets matter most, or SLA jeopardy if breach risk dominates</w:t>
            </w:r>
          </w:p>
        </w:tc>
      </w:tr>
      <w:tr>
        <w:tc>
          <w:tcPr>
            <w:tcW w:type="dxa" w:w="2835"/>
          </w:tcPr>
          <w:p>
            <w:pPr>
              <w:spacing w:after="40" w:before="40"/>
            </w:pPr>
            <w:r/>
            <w:r>
              <w:rPr>
                <w:sz w:val="19"/>
              </w:rPr>
              <w:t>"It misses tickets we care about"</w:t>
            </w:r>
          </w:p>
        </w:tc>
        <w:tc>
          <w:tcPr>
            <w:tcW w:type="dxa" w:w="6463"/>
          </w:tcPr>
          <w:p>
            <w:pPr>
              <w:spacing w:after="40" w:before="40"/>
            </w:pPr>
            <w:r/>
            <w:r>
              <w:rPr>
                <w:sz w:val="19"/>
              </w:rPr>
              <w:t>Lower the threshold, or check the group filter is not too narrow</w:t>
            </w:r>
          </w:p>
        </w:tc>
      </w:tr>
      <w:tr>
        <w:tc>
          <w:tcPr>
            <w:tcW w:type="dxa" w:w="2835"/>
          </w:tcPr>
          <w:p>
            <w:pPr>
              <w:spacing w:after="40" w:before="40"/>
            </w:pPr>
            <w:r/>
            <w:r>
              <w:rPr>
                <w:sz w:val="19"/>
              </w:rPr>
              <w:t>"Idle times are nonsense"</w:t>
            </w:r>
          </w:p>
        </w:tc>
        <w:tc>
          <w:tcPr>
            <w:tcW w:type="dxa" w:w="6463"/>
          </w:tcPr>
          <w:p>
            <w:pPr>
              <w:spacing w:after="40" w:before="40"/>
            </w:pPr>
            <w:r/>
            <w:r>
              <w:rPr>
                <w:sz w:val="19"/>
              </w:rPr>
              <w:t>An automated account is missing from the configuration. This is the most common problem and needs an administrator</w:t>
            </w:r>
          </w:p>
        </w:tc>
      </w:tr>
      <w:tr>
        <w:tc>
          <w:tcPr>
            <w:tcW w:type="dxa" w:w="2835"/>
          </w:tcPr>
          <w:p>
            <w:pPr>
              <w:spacing w:after="40" w:before="40"/>
            </w:pPr>
            <w:r/>
            <w:r>
              <w:rPr>
                <w:sz w:val="19"/>
              </w:rPr>
              <w:t>"Blocked by is often wrong"</w:t>
            </w:r>
          </w:p>
        </w:tc>
        <w:tc>
          <w:tcPr>
            <w:tcW w:type="dxa" w:w="6463"/>
          </w:tcPr>
          <w:p>
            <w:pPr>
              <w:spacing w:after="40" w:before="40"/>
            </w:pPr>
            <w:r/>
            <w:r>
              <w:rPr>
                <w:sz w:val="19"/>
              </w:rPr>
              <w:t>Your hold reasons may not match the built-in mapping. Needs an administrator</w:t>
            </w:r>
          </w:p>
        </w:tc>
      </w:tr>
    </w:tbl>
    <w:p>
      <w:pPr>
        <w:spacing w:after="80"/>
      </w:pPr>
    </w:p>
    <w:p>
      <w:pPr>
        <w:pStyle w:val="Heading2"/>
      </w:pPr>
      <w:r>
        <w:t>5.9 Alerts between digests</w:t>
      </w:r>
    </w:p>
    <w:p>
      <w:r>
        <w:rPr>
          <w:b w:val="0"/>
          <w:i w:val="0"/>
          <w:sz w:val="21"/>
        </w:rPr>
        <w:t>Some things should not wait until tomorrow morning. Leads get an immediate batched email when a ticket newly breaches SLA, newly passes 75% of its SLA, becomes critically stale, has a caller waiting on a reply, or has its blocker clear.</w:t>
      </w:r>
    </w:p>
    <w:p>
      <w:r>
        <w:rPr>
          <w:b w:val="0"/>
          <w:i w:val="0"/>
          <w:sz w:val="21"/>
        </w:rPr>
        <w:t>Each ticket alerts at most once per day per type, so a ticket that stays breached does not email you every ten minutes.</w:t>
      </w:r>
    </w:p>
    <w:p>
      <w:r>
        <w:br w:type="page"/>
      </w:r>
    </w:p>
    <w:p>
      <w:pPr>
        <w:pStyle w:val="Heading1"/>
      </w:pPr>
      <w:r>
        <w:t>6. Worked examples</w:t>
      </w:r>
    </w:p>
    <w:p>
      <w:pPr>
        <w:pStyle w:val="Heading2"/>
      </w:pPr>
      <w:r>
        <w:t>6.1 The dependency closed and was not noticed</w:t>
      </w:r>
    </w:p>
    <w:p>
      <w:pPr>
        <w:spacing w:after="40"/>
      </w:pPr>
      <w:r>
        <w:rPr>
          <w:b/>
          <w:i w:val="0"/>
          <w:sz w:val="21"/>
        </w:rPr>
        <w:t>What you see on the board</w:t>
      </w:r>
    </w:p>
    <w:p>
      <w:pPr>
        <w:spacing w:after="0" w:before="120" w:line="240" w:lineRule="auto"/>
        <w:ind w:left="170"/>
        <w:shd w:val="clear" w:color="auto" w:fill="F4F4F1"/>
      </w:pPr>
      <w:r>
        <w:rPr>
          <w:rFonts w:ascii="Consolas" w:hAnsi="Consolas"/>
          <w:color w:val="0B0B0B"/>
          <w:sz w:val="17"/>
        </w:rPr>
        <w:t>INC2831044   score 74  Critical</w:t>
      </w:r>
    </w:p>
    <w:p>
      <w:pPr>
        <w:spacing w:after="0" w:before="0" w:line="240" w:lineRule="auto"/>
        <w:ind w:left="170"/>
        <w:shd w:val="clear" w:color="auto" w:fill="F4F4F1"/>
      </w:pPr>
      <w:r>
        <w:rPr>
          <w:rFonts w:ascii="Consolas" w:hAnsi="Consolas"/>
          <w:color w:val="0B0B0B"/>
          <w:sz w:val="17"/>
        </w:rPr>
        <w:t>Printer driver deployment failing on the Chicago floor</w:t>
      </w:r>
    </w:p>
    <w:p>
      <w:pPr>
        <w:spacing w:after="0" w:before="0" w:line="240" w:lineRule="auto"/>
        <w:ind w:left="170"/>
        <w:shd w:val="clear" w:color="auto" w:fill="F4F4F1"/>
      </w:pPr>
      <w:r>
        <w:rPr>
          <w:rFonts w:ascii="Consolas" w:hAnsi="Consolas"/>
          <w:color w:val="0B0B0B"/>
          <w:sz w:val="17"/>
        </w:rPr>
        <w:t>Asha Rao · 19 days old · idle 11.4 days · Pending action owner: Assigned team</w:t>
      </w:r>
    </w:p>
    <w:p>
      <w:pPr>
        <w:spacing w:after="0" w:before="0" w:line="240" w:lineRule="auto"/>
        <w:ind w:left="170"/>
        <w:shd w:val="clear" w:color="auto" w:fill="F4F4F1"/>
      </w:pPr>
      <w:r>
        <w:rPr>
          <w:rFonts w:ascii="Consolas" w:hAnsi="Consolas"/>
          <w:color w:val="0B0B0B"/>
          <w:sz w:val="17"/>
        </w:rPr>
        <w:t>Flags: Dependency already closed · Prolonged inactivity · Expected duration exceeded</w:t>
      </w:r>
    </w:p>
    <w:p>
      <w:pPr>
        <w:spacing w:after="120" w:before="0"/>
      </w:pPr>
    </w:p>
    <w:p>
      <w:pPr>
        <w:spacing w:after="80"/>
      </w:pPr>
      <w:r>
        <w:rPr>
          <w:b/>
          <w:i w:val="0"/>
          <w:sz w:val="21"/>
        </w:rPr>
        <w:t xml:space="preserve">The tool says:  </w:t>
      </w:r>
      <w:r>
        <w:rPr>
          <w:b w:val="0"/>
          <w:i w:val="0"/>
          <w:sz w:val="21"/>
        </w:rPr>
        <w:t>"Resolve" — confidence 86%. The change this incident was held for, CHG0044321, closed successfully eleven days ago.</w:t>
      </w:r>
    </w:p>
    <w:p>
      <w:pPr>
        <w:spacing w:after="80"/>
      </w:pPr>
      <w:r>
        <w:rPr>
          <w:b/>
          <w:i w:val="0"/>
          <w:sz w:val="21"/>
        </w:rPr>
        <w:t xml:space="preserve">What is going on:  </w:t>
      </w:r>
      <w:r>
        <w:rPr>
          <w:b w:val="0"/>
          <w:i w:val="0"/>
          <w:sz w:val="21"/>
        </w:rPr>
        <w:t>The ticket is still On Hold — Awaiting Change. Nobody is at fault: ServiceNow does not report when a dependency closes, so the incident simply remained on hold. The tool detected the change state and returned the pending action owner to the the assigned team.</w:t>
      </w:r>
    </w:p>
    <w:p>
      <w:r>
        <w:rPr>
          <w:b/>
          <w:i w:val="0"/>
          <w:sz w:val="21"/>
        </w:rPr>
        <w:t xml:space="preserve">What to do:  </w:t>
      </w:r>
      <w:r>
        <w:rPr>
          <w:b w:val="0"/>
          <w:i w:val="0"/>
          <w:sz w:val="21"/>
        </w:rPr>
        <w:t>Take it off hold, confirm the driver deployment worked, resolve it. This category of ticket is often the oldest thing on the board and the quickest to clear.</w:t>
      </w:r>
    </w:p>
    <w:p>
      <w:pPr>
        <w:pStyle w:val="Heading2"/>
      </w:pPr>
      <w:r>
        <w:t>6.2 The caller replied four days ago</w:t>
      </w:r>
    </w:p>
    <w:p>
      <w:pPr>
        <w:spacing w:after="40"/>
      </w:pPr>
      <w:r>
        <w:rPr>
          <w:b/>
          <w:i w:val="0"/>
          <w:sz w:val="21"/>
        </w:rPr>
        <w:t>What you see on the board</w:t>
      </w:r>
    </w:p>
    <w:p>
      <w:pPr>
        <w:spacing w:after="0" w:before="120" w:line="240" w:lineRule="auto"/>
        <w:ind w:left="170"/>
        <w:shd w:val="clear" w:color="auto" w:fill="F4F4F1"/>
      </w:pPr>
      <w:r>
        <w:rPr>
          <w:rFonts w:ascii="Consolas" w:hAnsi="Consolas"/>
          <w:color w:val="0B0B0B"/>
          <w:sz w:val="17"/>
        </w:rPr>
        <w:t>INC2838464   score 81  Critical</w:t>
      </w:r>
    </w:p>
    <w:p>
      <w:pPr>
        <w:spacing w:after="0" w:before="0" w:line="240" w:lineRule="auto"/>
        <w:ind w:left="170"/>
        <w:shd w:val="clear" w:color="auto" w:fill="F4F4F1"/>
      </w:pPr>
      <w:r>
        <w:rPr>
          <w:rFonts w:ascii="Consolas" w:hAnsi="Consolas"/>
          <w:color w:val="0B0B0B"/>
          <w:sz w:val="17"/>
        </w:rPr>
        <w:t>Cannot connect to VPN from home</w:t>
      </w:r>
    </w:p>
    <w:p>
      <w:pPr>
        <w:spacing w:after="0" w:before="0" w:line="240" w:lineRule="auto"/>
        <w:ind w:left="170"/>
        <w:shd w:val="clear" w:color="auto" w:fill="F4F4F1"/>
      </w:pPr>
      <w:r>
        <w:rPr>
          <w:rFonts w:ascii="Consolas" w:hAnsi="Consolas"/>
          <w:color w:val="0B0B0B"/>
          <w:sz w:val="17"/>
        </w:rPr>
        <w:t>Priya Sharma · 9 days old · idle 4.2 days · Blocked by: Us</w:t>
      </w:r>
    </w:p>
    <w:p>
      <w:pPr>
        <w:spacing w:after="0" w:before="0" w:line="240" w:lineRule="auto"/>
        <w:ind w:left="170"/>
        <w:shd w:val="clear" w:color="auto" w:fill="F4F4F1"/>
      </w:pPr>
      <w:r>
        <w:rPr>
          <w:rFonts w:ascii="Consolas" w:hAnsi="Consolas"/>
          <w:color w:val="0B0B0B"/>
          <w:sz w:val="17"/>
        </w:rPr>
        <w:t>Flags: SLA breached · Caller awaiting reply · No action 4+ days</w:t>
      </w:r>
    </w:p>
    <w:p>
      <w:pPr>
        <w:spacing w:after="120" w:before="0"/>
      </w:pPr>
    </w:p>
    <w:p>
      <w:pPr>
        <w:spacing w:after="80"/>
      </w:pPr>
      <w:r>
        <w:rPr>
          <w:b/>
          <w:i w:val="0"/>
          <w:sz w:val="21"/>
        </w:rPr>
        <w:t xml:space="preserve">The tool says:  </w:t>
      </w:r>
      <w:r>
        <w:rPr>
          <w:b w:val="0"/>
          <w:i w:val="0"/>
          <w:sz w:val="21"/>
        </w:rPr>
        <w:t>"Follow up with caller" — confidence 88%. The caller supplied the requested error screenshot on 19 September and has had no response since.</w:t>
      </w:r>
    </w:p>
    <w:p>
      <w:pPr>
        <w:spacing w:after="80"/>
      </w:pPr>
      <w:r>
        <w:rPr>
          <w:b/>
          <w:i w:val="0"/>
          <w:sz w:val="21"/>
        </w:rPr>
        <w:t xml:space="preserve">What is going on:  </w:t>
      </w:r>
      <w:r>
        <w:rPr>
          <w:b w:val="0"/>
          <w:i w:val="0"/>
          <w:sz w:val="21"/>
        </w:rPr>
        <w:t>The ticket is On Hold — Awaiting Caller, so it drops out of the normal "things I need to do" view. But the caller answered. The hold reason is just stale, and the SLA clock kept running.</w:t>
      </w:r>
    </w:p>
    <w:p>
      <w:r>
        <w:rPr>
          <w:b/>
          <w:i w:val="0"/>
          <w:sz w:val="21"/>
        </w:rPr>
        <w:t xml:space="preserve">What to do:  </w:t>
      </w:r>
      <w:r>
        <w:rPr>
          <w:b w:val="0"/>
          <w:i w:val="0"/>
          <w:sz w:val="21"/>
        </w:rPr>
        <w:t>Reply to the caller today. This is the single most avoidable category of delay in any support queue, and the easiest for the tool to catch.</w:t>
      </w:r>
    </w:p>
    <w:p>
      <w:pPr>
        <w:pStyle w:val="Heading2"/>
      </w:pPr>
      <w:r>
        <w:t>6.3 Ready to close, nobody pulled the trigger</w:t>
      </w:r>
    </w:p>
    <w:p>
      <w:pPr>
        <w:spacing w:after="40"/>
      </w:pPr>
      <w:r>
        <w:rPr>
          <w:b/>
          <w:i w:val="0"/>
          <w:sz w:val="21"/>
        </w:rPr>
        <w:t>What you see on the board</w:t>
      </w:r>
    </w:p>
    <w:p>
      <w:pPr>
        <w:spacing w:after="0" w:before="120" w:line="240" w:lineRule="auto"/>
        <w:ind w:left="170"/>
        <w:shd w:val="clear" w:color="auto" w:fill="F4F4F1"/>
      </w:pPr>
      <w:r>
        <w:rPr>
          <w:rFonts w:ascii="Consolas" w:hAnsi="Consolas"/>
          <w:color w:val="0B0B0B"/>
          <w:sz w:val="17"/>
        </w:rPr>
        <w:t>INC2836210   score 38  Medium</w:t>
      </w:r>
    </w:p>
    <w:p>
      <w:pPr>
        <w:spacing w:after="0" w:before="0" w:line="240" w:lineRule="auto"/>
        <w:ind w:left="170"/>
        <w:shd w:val="clear" w:color="auto" w:fill="F4F4F1"/>
      </w:pPr>
      <w:r>
        <w:rPr>
          <w:rFonts w:ascii="Consolas" w:hAnsi="Consolas"/>
          <w:color w:val="0B0B0B"/>
          <w:sz w:val="17"/>
        </w:rPr>
        <w:t>Request for additional monitor</w:t>
      </w:r>
    </w:p>
    <w:p>
      <w:pPr>
        <w:spacing w:after="0" w:before="0" w:line="240" w:lineRule="auto"/>
        <w:ind w:left="170"/>
        <w:shd w:val="clear" w:color="auto" w:fill="F4F4F1"/>
      </w:pPr>
      <w:r>
        <w:rPr>
          <w:rFonts w:ascii="Consolas" w:hAnsi="Consolas"/>
          <w:color w:val="0B0B0B"/>
          <w:sz w:val="17"/>
        </w:rPr>
        <w:t>Dev Menon · 22 days old · idle 6.1 days · Blocked by: Caller</w:t>
      </w:r>
    </w:p>
    <w:p>
      <w:pPr>
        <w:spacing w:after="0" w:before="0" w:line="240" w:lineRule="auto"/>
        <w:ind w:left="170"/>
        <w:shd w:val="clear" w:color="auto" w:fill="F4F4F1"/>
      </w:pPr>
      <w:r>
        <w:rPr>
          <w:rFonts w:ascii="Consolas" w:hAnsi="Consolas"/>
          <w:color w:val="0B0B0B"/>
          <w:sz w:val="17"/>
        </w:rPr>
        <w:t>Flags: Closure candidate · Past expected time</w:t>
      </w:r>
    </w:p>
    <w:p>
      <w:pPr>
        <w:spacing w:after="120" w:before="0"/>
      </w:pPr>
    </w:p>
    <w:p>
      <w:pPr>
        <w:spacing w:after="80"/>
      </w:pPr>
      <w:r>
        <w:rPr>
          <w:b/>
          <w:i w:val="0"/>
          <w:sz w:val="21"/>
        </w:rPr>
        <w:t xml:space="preserve">The tool says:  </w:t>
      </w:r>
      <w:r>
        <w:rPr>
          <w:b w:val="0"/>
          <w:i w:val="0"/>
          <w:sz w:val="21"/>
        </w:rPr>
        <w:t>"Close (no response)" — confidence 79%. Three documented follow-ups on 2, 8 and 14 September. No caller response for eighteen days.</w:t>
      </w:r>
    </w:p>
    <w:p>
      <w:pPr>
        <w:spacing w:after="80"/>
      </w:pPr>
      <w:r>
        <w:rPr>
          <w:b/>
          <w:i w:val="0"/>
          <w:sz w:val="21"/>
        </w:rPr>
        <w:t xml:space="preserve">What is going on:  </w:t>
      </w:r>
      <w:r>
        <w:rPr>
          <w:b w:val="0"/>
          <w:i w:val="0"/>
          <w:sz w:val="21"/>
        </w:rPr>
        <w:t>The agent did everything right and documented all of it. The ticket is just sitting there because nobody wants to be the one to close it.</w:t>
      </w:r>
    </w:p>
    <w:p>
      <w:r>
        <w:rPr>
          <w:b/>
          <w:i w:val="0"/>
          <w:sz w:val="21"/>
        </w:rPr>
        <w:t xml:space="preserve">What to do:  </w:t>
      </w:r>
      <w:r>
        <w:rPr>
          <w:b w:val="0"/>
          <w:i w:val="0"/>
          <w:sz w:val="21"/>
        </w:rPr>
        <w:t>Use the Closure candidates block in the digest and handle these as a batch, per your local closure policy. A drafted closure note is provided.</w:t>
      </w:r>
    </w:p>
    <w:p>
      <w:pPr>
        <w:pStyle w:val="Heading2"/>
      </w:pPr>
      <w:r>
        <w:t>6.4 The tool gets it wrong</w:t>
      </w:r>
    </w:p>
    <w:p>
      <w:pPr>
        <w:spacing w:after="40"/>
      </w:pPr>
      <w:r>
        <w:rPr>
          <w:b/>
          <w:i w:val="0"/>
          <w:sz w:val="21"/>
        </w:rPr>
        <w:t>What you see on the board</w:t>
      </w:r>
    </w:p>
    <w:p>
      <w:pPr>
        <w:spacing w:after="0" w:before="120" w:line="240" w:lineRule="auto"/>
        <w:ind w:left="170"/>
        <w:shd w:val="clear" w:color="auto" w:fill="F4F4F1"/>
      </w:pPr>
      <w:r>
        <w:rPr>
          <w:rFonts w:ascii="Consolas" w:hAnsi="Consolas"/>
          <w:color w:val="0B0B0B"/>
          <w:sz w:val="17"/>
        </w:rPr>
        <w:t>INC2837788   score 52  High</w:t>
      </w:r>
    </w:p>
    <w:p>
      <w:pPr>
        <w:spacing w:after="0" w:before="0" w:line="240" w:lineRule="auto"/>
        <w:ind w:left="170"/>
        <w:shd w:val="clear" w:color="auto" w:fill="F4F4F1"/>
      </w:pPr>
      <w:r>
        <w:rPr>
          <w:rFonts w:ascii="Consolas" w:hAnsi="Consolas"/>
          <w:color w:val="0B0B0B"/>
          <w:sz w:val="17"/>
        </w:rPr>
        <w:t>Application error on month-end reporting run</w:t>
      </w:r>
    </w:p>
    <w:p>
      <w:pPr>
        <w:spacing w:after="0" w:before="0" w:line="240" w:lineRule="auto"/>
        <w:ind w:left="170"/>
        <w:shd w:val="clear" w:color="auto" w:fill="F4F4F1"/>
      </w:pPr>
      <w:r>
        <w:rPr>
          <w:rFonts w:ascii="Consolas" w:hAnsi="Consolas"/>
          <w:color w:val="0B0B0B"/>
          <w:sz w:val="17"/>
        </w:rPr>
        <w:t>Sam Okafor · 12 days old · idle 3.0 days · Blocked by: Us</w:t>
      </w:r>
    </w:p>
    <w:p>
      <w:pPr>
        <w:spacing w:after="0" w:before="0" w:line="240" w:lineRule="auto"/>
        <w:ind w:left="170"/>
        <w:shd w:val="clear" w:color="auto" w:fill="F4F4F1"/>
      </w:pPr>
      <w:r>
        <w:rPr>
          <w:rFonts w:ascii="Consolas" w:hAnsi="Consolas"/>
          <w:color w:val="0B0B0B"/>
          <w:sz w:val="17"/>
        </w:rPr>
        <w:t>Flags: No recent action · KB not attached</w:t>
      </w:r>
    </w:p>
    <w:p>
      <w:pPr>
        <w:spacing w:after="120" w:before="0"/>
      </w:pPr>
    </w:p>
    <w:p>
      <w:pPr>
        <w:spacing w:after="80"/>
      </w:pPr>
      <w:r>
        <w:rPr>
          <w:b/>
          <w:i w:val="0"/>
          <w:sz w:val="21"/>
        </w:rPr>
        <w:t xml:space="preserve">The tool says:  </w:t>
      </w:r>
      <w:r>
        <w:rPr>
          <w:b w:val="0"/>
          <w:i w:val="0"/>
          <w:sz w:val="21"/>
        </w:rPr>
        <w:t>"Reassign to Network Ops" — confidence 61%.</w:t>
      </w:r>
    </w:p>
    <w:p>
      <w:pPr>
        <w:spacing w:after="80"/>
      </w:pPr>
      <w:r>
        <w:rPr>
          <w:b/>
          <w:i w:val="0"/>
          <w:sz w:val="21"/>
        </w:rPr>
        <w:t xml:space="preserve">What is going on:  </w:t>
      </w:r>
      <w:r>
        <w:rPr>
          <w:b w:val="0"/>
          <w:i w:val="0"/>
          <w:sz w:val="21"/>
        </w:rPr>
        <w:t>Reading the work notes, this is a finance application defect that the vendor is already working under a support case. The tool latched onto a mention of a network timeout in an early work note and drew the wrong conclusion.</w:t>
      </w:r>
    </w:p>
    <w:p>
      <w:r>
        <w:rPr>
          <w:b/>
          <w:i w:val="0"/>
          <w:sz w:val="21"/>
        </w:rPr>
        <w:t xml:space="preserve">What to do:  </w:t>
      </w:r>
      <w:r>
        <w:rPr>
          <w:b w:val="0"/>
          <w:i w:val="0"/>
          <w:sz w:val="21"/>
        </w:rPr>
        <w:t>Do the right thing — leave it with the vendor. Then record the verdict as "Wrong", set "what you actually did" to Chase vendor, and add one line to the comment box. That is how the pattern gets spotted and fixed.</w:t>
      </w:r>
    </w:p>
    <w:p>
      <w:pPr>
        <w:pStyle w:val="Heading2"/>
      </w:pPr>
      <w:r>
        <w:t>6.5 Old, and completely fine</w:t>
      </w:r>
    </w:p>
    <w:p>
      <w:pPr>
        <w:spacing w:after="40"/>
      </w:pPr>
      <w:r>
        <w:rPr>
          <w:b/>
          <w:i w:val="0"/>
          <w:sz w:val="21"/>
        </w:rPr>
        <w:t>What you see on the board</w:t>
      </w:r>
    </w:p>
    <w:p>
      <w:pPr>
        <w:spacing w:after="0" w:before="120" w:line="240" w:lineRule="auto"/>
        <w:ind w:left="170"/>
        <w:shd w:val="clear" w:color="auto" w:fill="F4F4F1"/>
      </w:pPr>
      <w:r>
        <w:rPr>
          <w:rFonts w:ascii="Consolas" w:hAnsi="Consolas"/>
          <w:color w:val="0B0B0B"/>
          <w:sz w:val="17"/>
        </w:rPr>
        <w:t>INC2835901   score 16  Low</w:t>
      </w:r>
    </w:p>
    <w:p>
      <w:pPr>
        <w:spacing w:after="0" w:before="0" w:line="240" w:lineRule="auto"/>
        <w:ind w:left="170"/>
        <w:shd w:val="clear" w:color="auto" w:fill="F4F4F1"/>
      </w:pPr>
      <w:r>
        <w:rPr>
          <w:rFonts w:ascii="Consolas" w:hAnsi="Consolas"/>
          <w:color w:val="0B0B0B"/>
          <w:sz w:val="17"/>
        </w:rPr>
        <w:t>New starter laptop build - Shanghai</w:t>
      </w:r>
    </w:p>
    <w:p>
      <w:pPr>
        <w:spacing w:after="0" w:before="0" w:line="240" w:lineRule="auto"/>
        <w:ind w:left="170"/>
        <w:shd w:val="clear" w:color="auto" w:fill="F4F4F1"/>
      </w:pPr>
      <w:r>
        <w:rPr>
          <w:rFonts w:ascii="Consolas" w:hAnsi="Consolas"/>
          <w:color w:val="0B0B0B"/>
          <w:sz w:val="17"/>
        </w:rPr>
        <w:t>Wei Chen · 14 days old · idle 0.8 days · Blocked by: Vendor</w:t>
      </w:r>
    </w:p>
    <w:p>
      <w:pPr>
        <w:spacing w:after="0" w:before="0" w:line="240" w:lineRule="auto"/>
        <w:ind w:left="170"/>
        <w:shd w:val="clear" w:color="auto" w:fill="F4F4F1"/>
      </w:pPr>
      <w:r>
        <w:rPr>
          <w:rFonts w:ascii="Consolas" w:hAnsi="Consolas"/>
          <w:color w:val="0B0B0B"/>
          <w:sz w:val="17"/>
        </w:rPr>
        <w:t>Flags: (none)</w:t>
      </w:r>
    </w:p>
    <w:p>
      <w:pPr>
        <w:spacing w:after="120" w:before="0"/>
      </w:pPr>
    </w:p>
    <w:p>
      <w:pPr>
        <w:spacing w:after="80"/>
      </w:pPr>
      <w:r>
        <w:rPr>
          <w:b/>
          <w:i w:val="0"/>
          <w:sz w:val="21"/>
        </w:rPr>
        <w:t xml:space="preserve">The tool says:  </w:t>
      </w:r>
      <w:r>
        <w:rPr>
          <w:b w:val="0"/>
          <w:i w:val="0"/>
          <w:sz w:val="21"/>
        </w:rPr>
        <w:t>"On track" — confidence 84%. The hardware order is with the supplier, the reference is recorded, and the ETA is documented in the latest work note.</w:t>
      </w:r>
    </w:p>
    <w:p>
      <w:pPr>
        <w:spacing w:after="80"/>
      </w:pPr>
      <w:r>
        <w:rPr>
          <w:b/>
          <w:i w:val="0"/>
          <w:sz w:val="21"/>
        </w:rPr>
        <w:t xml:space="preserve">What is going on:  </w:t>
      </w:r>
      <w:r>
        <w:rPr>
          <w:b w:val="0"/>
          <w:i w:val="0"/>
          <w:sz w:val="21"/>
        </w:rPr>
        <w:t>A two-week-old ticket that is entirely healthy. The agent is on top of it, and laptop builds in this category normally take around this long.</w:t>
      </w:r>
    </w:p>
    <w:p>
      <w:r>
        <w:rPr>
          <w:b/>
          <w:i w:val="0"/>
          <w:sz w:val="21"/>
        </w:rPr>
        <w:t xml:space="preserve">What to do:  </w:t>
      </w:r>
      <w:r>
        <w:rPr>
          <w:b w:val="0"/>
          <w:i w:val="0"/>
          <w:sz w:val="21"/>
        </w:rPr>
        <w:t>Nothing. This is the tool doing its most valuable work — telling you that a ticket which would have caught your eye on an age-sorted list does not need you.</w:t>
      </w:r>
    </w:p>
    <w:p>
      <w:pPr>
        <w:pStyle w:val="Heading2"/>
      </w:pPr>
      <w:r>
        <w:t>6.6 Nobody ever picked it up</w:t>
      </w:r>
    </w:p>
    <w:p>
      <w:pPr>
        <w:spacing w:after="40"/>
      </w:pPr>
      <w:r>
        <w:rPr>
          <w:b/>
          <w:i w:val="0"/>
          <w:sz w:val="21"/>
        </w:rPr>
        <w:t>What you see on the board</w:t>
      </w:r>
    </w:p>
    <w:p>
      <w:pPr>
        <w:spacing w:after="0" w:before="120" w:line="240" w:lineRule="auto"/>
        <w:ind w:left="170"/>
        <w:shd w:val="clear" w:color="auto" w:fill="F4F4F1"/>
      </w:pPr>
      <w:r>
        <w:rPr>
          <w:rFonts w:ascii="Consolas" w:hAnsi="Consolas"/>
          <w:color w:val="0B0B0B"/>
          <w:sz w:val="17"/>
        </w:rPr>
        <w:t>INC2838120   score 69  High</w:t>
      </w:r>
    </w:p>
    <w:p>
      <w:pPr>
        <w:spacing w:after="0" w:before="0" w:line="240" w:lineRule="auto"/>
        <w:ind w:left="170"/>
        <w:shd w:val="clear" w:color="auto" w:fill="F4F4F1"/>
      </w:pPr>
      <w:r>
        <w:rPr>
          <w:rFonts w:ascii="Consolas" w:hAnsi="Consolas"/>
          <w:color w:val="0B0B0B"/>
          <w:sz w:val="17"/>
        </w:rPr>
        <w:t>Shared mailbox permissions request</w:t>
      </w:r>
    </w:p>
    <w:p>
      <w:pPr>
        <w:spacing w:after="0" w:before="0" w:line="240" w:lineRule="auto"/>
        <w:ind w:left="170"/>
        <w:shd w:val="clear" w:color="auto" w:fill="F4F4F1"/>
      </w:pPr>
      <w:r>
        <w:rPr>
          <w:rFonts w:ascii="Consolas" w:hAnsi="Consolas"/>
          <w:color w:val="0B0B0B"/>
          <w:sz w:val="17"/>
        </w:rPr>
        <w:t>Unassigned · 8 days old · idle 8.0 days · Blocked by: Us</w:t>
      </w:r>
    </w:p>
    <w:p>
      <w:pPr>
        <w:spacing w:after="0" w:before="0" w:line="240" w:lineRule="auto"/>
        <w:ind w:left="170"/>
        <w:shd w:val="clear" w:color="auto" w:fill="F4F4F1"/>
      </w:pPr>
      <w:r>
        <w:rPr>
          <w:rFonts w:ascii="Consolas" w:hAnsi="Consolas"/>
          <w:color w:val="0B0B0B"/>
          <w:sz w:val="17"/>
        </w:rPr>
        <w:t>Flags: Never actioned · SLA at risk · No action 4+ days</w:t>
      </w:r>
    </w:p>
    <w:p>
      <w:pPr>
        <w:spacing w:after="120" w:before="0"/>
      </w:pPr>
    </w:p>
    <w:p>
      <w:pPr>
        <w:spacing w:after="80"/>
      </w:pPr>
      <w:r>
        <w:rPr>
          <w:b/>
          <w:i w:val="0"/>
          <w:sz w:val="21"/>
        </w:rPr>
        <w:t xml:space="preserve">The tool says:  </w:t>
      </w:r>
      <w:r>
        <w:rPr>
          <w:b w:val="0"/>
          <w:i w:val="0"/>
          <w:sz w:val="21"/>
        </w:rPr>
        <w:t>"Escalate" — confidence 58%. No agent activity of any kind since the ticket was raised.</w:t>
      </w:r>
    </w:p>
    <w:p>
      <w:pPr>
        <w:spacing w:after="80"/>
      </w:pPr>
      <w:r>
        <w:rPr>
          <w:b/>
          <w:i w:val="0"/>
          <w:sz w:val="21"/>
        </w:rPr>
        <w:t xml:space="preserve">What is going on:  </w:t>
      </w:r>
      <w:r>
        <w:rPr>
          <w:b w:val="0"/>
          <w:i w:val="0"/>
          <w:sz w:val="21"/>
        </w:rPr>
        <w:t>It was never assigned. It has been in the queue for eight days with nobody looking at it. Idle time runs from creation, because there is no agent action to measure from.</w:t>
      </w:r>
    </w:p>
    <w:p>
      <w:r>
        <w:rPr>
          <w:b/>
          <w:i w:val="0"/>
          <w:sz w:val="21"/>
        </w:rPr>
        <w:t xml:space="preserve">What to do:  </w:t>
      </w:r>
      <w:r>
        <w:rPr>
          <w:b w:val="0"/>
          <w:i w:val="0"/>
          <w:sz w:val="21"/>
        </w:rPr>
        <w:t>Assign it now. Then ask why it was missed — this is usually a queue routing or triage issue rather than anything to do with an individual agent.</w:t>
      </w:r>
    </w:p>
    <w:p>
      <w:r>
        <w:br w:type="page"/>
      </w:r>
    </w:p>
    <w:p>
      <w:pPr>
        <w:pStyle w:val="Heading1"/>
      </w:pPr>
      <w:r>
        <w:t>7. Frequently asked questions</w:t>
      </w:r>
    </w:p>
    <w:p>
      <w:pPr>
        <w:pStyle w:val="Heading2"/>
      </w:pPr>
      <w:r>
        <w:t>7.1 About the suggestions</w:t>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Question</w:t>
            </w:r>
          </w:p>
        </w:tc>
        <w:tc>
          <w:tcPr>
            <w:tcW w:type="dxa" w:w="6463"/>
            <w:shd w:val="clear" w:color="auto" w:fill="E8E8E3"/>
          </w:tcPr>
          <w:p>
            <w:pPr>
              <w:spacing w:after="40" w:before="40"/>
            </w:pPr>
            <w:r/>
            <w:r>
              <w:rPr>
                <w:b/>
                <w:sz w:val="19"/>
              </w:rPr>
              <w:t>Answer</w:t>
            </w:r>
          </w:p>
        </w:tc>
      </w:tr>
      <w:tr>
        <w:tc>
          <w:tcPr>
            <w:tcW w:type="dxa" w:w="2835"/>
          </w:tcPr>
          <w:p>
            <w:pPr>
              <w:spacing w:after="40" w:before="40"/>
            </w:pPr>
            <w:r/>
            <w:r>
              <w:rPr>
                <w:sz w:val="19"/>
              </w:rPr>
              <w:t>Can it change or close my tickets?</w:t>
            </w:r>
          </w:p>
        </w:tc>
        <w:tc>
          <w:tcPr>
            <w:tcW w:type="dxa" w:w="6463"/>
          </w:tcPr>
          <w:p>
            <w:pPr>
              <w:spacing w:after="40" w:before="40"/>
            </w:pPr>
            <w:r/>
            <w:r>
              <w:rPr>
                <w:sz w:val="19"/>
              </w:rPr>
              <w:t>No. It has no ability to write to ServiceNow at all. Every action is still taken by a person.</w:t>
            </w:r>
          </w:p>
        </w:tc>
      </w:tr>
      <w:tr>
        <w:tc>
          <w:tcPr>
            <w:tcW w:type="dxa" w:w="2835"/>
          </w:tcPr>
          <w:p>
            <w:pPr>
              <w:spacing w:after="40" w:before="40"/>
            </w:pPr>
            <w:r/>
            <w:r>
              <w:rPr>
                <w:sz w:val="19"/>
              </w:rPr>
              <w:t>What if I disagree with a suggestion?</w:t>
            </w:r>
          </w:p>
        </w:tc>
        <w:tc>
          <w:tcPr>
            <w:tcW w:type="dxa" w:w="6463"/>
          </w:tcPr>
          <w:p>
            <w:pPr>
              <w:spacing w:after="40" w:before="40"/>
            </w:pPr>
            <w:r/>
            <w:r>
              <w:rPr>
                <w:sz w:val="19"/>
              </w:rPr>
              <w:t>Do the right thing for the ticket. Then record a verdict of Wrong or Not applicable so the disagreement is counted. That is how the tool improves.</w:t>
            </w:r>
          </w:p>
        </w:tc>
      </w:tr>
      <w:tr>
        <w:tc>
          <w:tcPr>
            <w:tcW w:type="dxa" w:w="2835"/>
          </w:tcPr>
          <w:p>
            <w:pPr>
              <w:spacing w:after="40" w:before="40"/>
            </w:pPr>
            <w:r/>
            <w:r>
              <w:rPr>
                <w:sz w:val="19"/>
              </w:rPr>
              <w:t>Why is a ticket I am actively working being flagged?</w:t>
            </w:r>
          </w:p>
        </w:tc>
        <w:tc>
          <w:tcPr>
            <w:tcW w:type="dxa" w:w="6463"/>
          </w:tcPr>
          <w:p>
            <w:pPr>
              <w:spacing w:after="40" w:before="40"/>
            </w:pPr>
            <w:r/>
            <w:r>
              <w:rPr>
                <w:sz w:val="19"/>
              </w:rPr>
              <w:t>Almost always because the work is not visible in the ticket — a phone call with no work note, for example. Add the note. If the work IS recorded and it is still flagged, tell your lead: an automated account may be missing from the configuration.</w:t>
            </w:r>
          </w:p>
        </w:tc>
      </w:tr>
      <w:tr>
        <w:tc>
          <w:tcPr>
            <w:tcW w:type="dxa" w:w="2835"/>
          </w:tcPr>
          <w:p>
            <w:pPr>
              <w:spacing w:after="40" w:before="40"/>
            </w:pPr>
            <w:r/>
            <w:r>
              <w:rPr>
                <w:sz w:val="19"/>
              </w:rPr>
              <w:t>The suggested work note is wrong. Is that a bug?</w:t>
            </w:r>
          </w:p>
        </w:tc>
        <w:tc>
          <w:tcPr>
            <w:tcW w:type="dxa" w:w="6463"/>
          </w:tcPr>
          <w:p>
            <w:pPr>
              <w:spacing w:after="40" w:before="40"/>
            </w:pPr>
            <w:r/>
            <w:r>
              <w:rPr>
                <w:sz w:val="19"/>
              </w:rPr>
              <w:t>Not necessarily. It is a first draft written from the ticket history. Edit it before you use it — that is what it is for. If it is badly wrong, record the verdict.</w:t>
            </w:r>
          </w:p>
        </w:tc>
      </w:tr>
      <w:tr>
        <w:tc>
          <w:tcPr>
            <w:tcW w:type="dxa" w:w="2835"/>
          </w:tcPr>
          <w:p>
            <w:pPr>
              <w:spacing w:after="40" w:before="40"/>
            </w:pPr>
            <w:r/>
            <w:r>
              <w:rPr>
                <w:sz w:val="19"/>
              </w:rPr>
              <w:t>Does it work on tickets that are not in English?</w:t>
            </w:r>
          </w:p>
        </w:tc>
        <w:tc>
          <w:tcPr>
            <w:tcW w:type="dxa" w:w="6463"/>
          </w:tcPr>
          <w:p>
            <w:pPr>
              <w:spacing w:after="40" w:before="40"/>
            </w:pPr>
            <w:r/>
            <w:r>
              <w:rPr>
                <w:sz w:val="19"/>
              </w:rPr>
              <w:t>It reads and reasons over them, and your queue includes plenty. Quality there has been tested less thoroughly than for English tickets, so please flag anything that looks poor.</w:t>
            </w:r>
          </w:p>
        </w:tc>
      </w:tr>
      <w:tr>
        <w:tc>
          <w:tcPr>
            <w:tcW w:type="dxa" w:w="2835"/>
          </w:tcPr>
          <w:p>
            <w:pPr>
              <w:spacing w:after="40" w:before="40"/>
            </w:pPr>
            <w:r/>
            <w:r>
              <w:rPr>
                <w:sz w:val="19"/>
              </w:rPr>
              <w:t>Why does it say "On track" for a ticket that is three weeks old?</w:t>
            </w:r>
          </w:p>
        </w:tc>
        <w:tc>
          <w:tcPr>
            <w:tcW w:type="dxa" w:w="6463"/>
          </w:tcPr>
          <w:p>
            <w:pPr>
              <w:spacing w:after="40" w:before="40"/>
            </w:pPr>
            <w:r/>
            <w:r>
              <w:rPr>
                <w:sz w:val="19"/>
              </w:rPr>
              <w:t>Because age alone does not mean something is wrong. If it is progressing or legitimately waiting, that is the correct answer.</w:t>
            </w:r>
          </w:p>
        </w:tc>
      </w:tr>
      <w:tr>
        <w:tc>
          <w:tcPr>
            <w:tcW w:type="dxa" w:w="2835"/>
          </w:tcPr>
          <w:p>
            <w:pPr>
              <w:spacing w:after="40" w:before="40"/>
            </w:pPr>
            <w:r/>
            <w:r>
              <w:rPr>
                <w:sz w:val="19"/>
              </w:rPr>
              <w:t>It suggested reassigning to a group that does not exist.</w:t>
            </w:r>
          </w:p>
        </w:tc>
        <w:tc>
          <w:tcPr>
            <w:tcW w:type="dxa" w:w="6463"/>
          </w:tcPr>
          <w:p>
            <w:pPr>
              <w:spacing w:after="40" w:before="40"/>
            </w:pPr>
            <w:r/>
            <w:r>
              <w:rPr>
                <w:sz w:val="19"/>
              </w:rPr>
              <w:t>It should not be able to — suggested groups are checked against the real list, and an unrecognised one is downgraded to Escalate. If you see this, report it.</w:t>
            </w:r>
          </w:p>
        </w:tc>
      </w:tr>
    </w:tbl>
    <w:p>
      <w:pPr>
        <w:spacing w:after="80"/>
      </w:pPr>
    </w:p>
    <w:p>
      <w:pPr>
        <w:pStyle w:val="Heading2"/>
      </w:pPr>
      <w:r>
        <w:t>7.2 About how it works</w:t>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Question</w:t>
            </w:r>
          </w:p>
        </w:tc>
        <w:tc>
          <w:tcPr>
            <w:tcW w:type="dxa" w:w="6463"/>
            <w:shd w:val="clear" w:color="auto" w:fill="E8E8E3"/>
          </w:tcPr>
          <w:p>
            <w:pPr>
              <w:spacing w:after="40" w:before="40"/>
            </w:pPr>
            <w:r/>
            <w:r>
              <w:rPr>
                <w:b/>
                <w:sz w:val="19"/>
              </w:rPr>
              <w:t>Answer</w:t>
            </w:r>
          </w:p>
        </w:tc>
      </w:tr>
      <w:tr>
        <w:tc>
          <w:tcPr>
            <w:tcW w:type="dxa" w:w="2835"/>
          </w:tcPr>
          <w:p>
            <w:pPr>
              <w:spacing w:after="40" w:before="40"/>
            </w:pPr>
            <w:r/>
            <w:r>
              <w:rPr>
                <w:sz w:val="19"/>
              </w:rPr>
              <w:t>How often does it update?</w:t>
            </w:r>
          </w:p>
        </w:tc>
        <w:tc>
          <w:tcPr>
            <w:tcW w:type="dxa" w:w="6463"/>
          </w:tcPr>
          <w:p>
            <w:pPr>
              <w:spacing w:after="40" w:before="40"/>
            </w:pPr>
            <w:r/>
            <w:r>
              <w:rPr>
                <w:sz w:val="19"/>
              </w:rPr>
              <w:t>Ticket data and the scores refresh every ten minutes. Once an hour there is a fuller pass that also clears out tickets which have been resolved or moved to another team, and refreshes the suggestions. Everything is refreshed again before a digest goes out.</w:t>
            </w:r>
          </w:p>
        </w:tc>
      </w:tr>
      <w:tr>
        <w:tc>
          <w:tcPr>
            <w:tcW w:type="dxa" w:w="2835"/>
          </w:tcPr>
          <w:p>
            <w:pPr>
              <w:spacing w:after="40" w:before="40"/>
            </w:pPr>
            <w:r/>
            <w:r>
              <w:rPr>
                <w:sz w:val="19"/>
              </w:rPr>
              <w:t>A ticket was resolved this morning — why is it still on the board?</w:t>
            </w:r>
          </w:p>
        </w:tc>
        <w:tc>
          <w:tcPr>
            <w:tcW w:type="dxa" w:w="6463"/>
          </w:tcPr>
          <w:p>
            <w:pPr>
              <w:spacing w:after="40" w:before="40"/>
            </w:pPr>
            <w:r/>
            <w:r>
              <w:rPr>
                <w:sz w:val="19"/>
              </w:rPr>
              <w:t>It will drop off at the next hourly pass. The ten-minute refresh only sees tickets that are still open and still yours, so by definition it cannot report one that has just stopped being either.</w:t>
            </w:r>
          </w:p>
        </w:tc>
      </w:tr>
      <w:tr>
        <w:tc>
          <w:tcPr>
            <w:tcW w:type="dxa" w:w="2835"/>
          </w:tcPr>
          <w:p>
            <w:pPr>
              <w:spacing w:after="40" w:before="40"/>
            </w:pPr>
            <w:r/>
            <w:r>
              <w:rPr>
                <w:sz w:val="19"/>
              </w:rPr>
              <w:t>Why did the score change overnight when nothing happened?</w:t>
            </w:r>
          </w:p>
        </w:tc>
        <w:tc>
          <w:tcPr>
            <w:tcW w:type="dxa" w:w="6463"/>
          </w:tcPr>
          <w:p>
            <w:pPr>
              <w:spacing w:after="40" w:before="40"/>
            </w:pPr>
            <w:r/>
            <w:r>
              <w:rPr>
                <w:sz w:val="19"/>
              </w:rPr>
              <w:t>Idle time and age keep growing, so a ticket nobody touches slowly climbs. That is intentional.</w:t>
            </w:r>
          </w:p>
        </w:tc>
      </w:tr>
      <w:tr>
        <w:tc>
          <w:tcPr>
            <w:tcW w:type="dxa" w:w="2835"/>
          </w:tcPr>
          <w:p>
            <w:pPr>
              <w:spacing w:after="40" w:before="40"/>
            </w:pPr>
            <w:r/>
            <w:r>
              <w:rPr>
                <w:sz w:val="19"/>
              </w:rPr>
              <w:t>Where does "tickets like this normally take 4 hours" come from?</w:t>
            </w:r>
          </w:p>
        </w:tc>
        <w:tc>
          <w:tcPr>
            <w:tcW w:type="dxa" w:w="6463"/>
          </w:tcPr>
          <w:p>
            <w:pPr>
              <w:spacing w:after="40" w:before="40"/>
            </w:pPr>
            <w:r/>
            <w:r>
              <w:rPr>
                <w:sz w:val="19"/>
              </w:rPr>
              <w:t>From your own resolved tickets in the same category over the last six months — not an industry benchmark.</w:t>
            </w:r>
          </w:p>
        </w:tc>
      </w:tr>
      <w:tr>
        <w:tc>
          <w:tcPr>
            <w:tcW w:type="dxa" w:w="2835"/>
          </w:tcPr>
          <w:p>
            <w:pPr>
              <w:spacing w:after="40" w:before="40"/>
            </w:pPr>
            <w:r/>
            <w:r>
              <w:rPr>
                <w:sz w:val="19"/>
              </w:rPr>
              <w:t>Why do some tickets have no suggestion?</w:t>
            </w:r>
          </w:p>
        </w:tc>
        <w:tc>
          <w:tcPr>
            <w:tcW w:type="dxa" w:w="6463"/>
          </w:tcPr>
          <w:p>
            <w:pPr>
              <w:spacing w:after="40" w:before="40"/>
            </w:pPr>
            <w:r/>
            <w:r>
              <w:rPr>
                <w:sz w:val="19"/>
              </w:rPr>
              <w:t>They have been synced and scored but not yet analysed. They pick one up within the hour.</w:t>
            </w:r>
          </w:p>
        </w:tc>
      </w:tr>
      <w:tr>
        <w:tc>
          <w:tcPr>
            <w:tcW w:type="dxa" w:w="2835"/>
          </w:tcPr>
          <w:p>
            <w:pPr>
              <w:spacing w:after="40" w:before="40"/>
            </w:pPr>
            <w:r/>
            <w:r>
              <w:rPr>
                <w:sz w:val="19"/>
              </w:rPr>
              <w:t>What happens if the AI service is down?</w:t>
            </w:r>
          </w:p>
        </w:tc>
        <w:tc>
          <w:tcPr>
            <w:tcW w:type="dxa" w:w="6463"/>
          </w:tcPr>
          <w:p>
            <w:pPr>
              <w:spacing w:after="40" w:before="40"/>
            </w:pPr>
            <w:r/>
            <w:r>
              <w:rPr>
                <w:sz w:val="19"/>
              </w:rPr>
              <w:t>The board, the scores and the flags keep working — they are ordinary arithmetic and do not need it. Suggestions fall back to simple rules and say so.</w:t>
            </w:r>
          </w:p>
        </w:tc>
      </w:tr>
      <w:tr>
        <w:tc>
          <w:tcPr>
            <w:tcW w:type="dxa" w:w="2835"/>
          </w:tcPr>
          <w:p>
            <w:pPr>
              <w:spacing w:after="40" w:before="40"/>
            </w:pPr>
            <w:r/>
            <w:r>
              <w:rPr>
                <w:sz w:val="19"/>
              </w:rPr>
              <w:t>Does it read attachments?</w:t>
            </w:r>
          </w:p>
        </w:tc>
        <w:tc>
          <w:tcPr>
            <w:tcW w:type="dxa" w:w="6463"/>
          </w:tcPr>
          <w:p>
            <w:pPr>
              <w:spacing w:after="40" w:before="40"/>
            </w:pPr>
            <w:r/>
            <w:r>
              <w:rPr>
                <w:sz w:val="19"/>
              </w:rPr>
              <w:t>The advisor reads ticket fields, history, SLA records and knowledge articles. It does not open attachments.</w:t>
            </w:r>
          </w:p>
        </w:tc>
      </w:tr>
    </w:tbl>
    <w:p>
      <w:pPr>
        <w:spacing w:after="80"/>
      </w:pPr>
    </w:p>
    <w:p>
      <w:pPr>
        <w:pStyle w:val="Heading2"/>
      </w:pPr>
      <w:r>
        <w:t>7.3 The questions people ask but do not always say out loud</w:t>
      </w: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These are fair questions and deserve straight answers.  </w:t>
      </w:r>
      <w:r>
        <w:rPr>
          <w:color w:val="52514E"/>
          <w:sz w:val="20"/>
        </w:rPr>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Question</w:t>
            </w:r>
          </w:p>
        </w:tc>
        <w:tc>
          <w:tcPr>
            <w:tcW w:type="dxa" w:w="6463"/>
            <w:shd w:val="clear" w:color="auto" w:fill="E8E8E3"/>
          </w:tcPr>
          <w:p>
            <w:pPr>
              <w:spacing w:after="40" w:before="40"/>
            </w:pPr>
            <w:r/>
            <w:r>
              <w:rPr>
                <w:b/>
                <w:sz w:val="19"/>
              </w:rPr>
              <w:t>Answer</w:t>
            </w:r>
          </w:p>
        </w:tc>
      </w:tr>
      <w:tr>
        <w:tc>
          <w:tcPr>
            <w:tcW w:type="dxa" w:w="2835"/>
          </w:tcPr>
          <w:p>
            <w:pPr>
              <w:spacing w:after="40" w:before="40"/>
            </w:pPr>
            <w:r/>
            <w:r>
              <w:rPr>
                <w:sz w:val="19"/>
              </w:rPr>
              <w:t>Is this monitoring my performance?</w:t>
            </w:r>
          </w:p>
        </w:tc>
        <w:tc>
          <w:tcPr>
            <w:tcW w:type="dxa" w:w="6463"/>
          </w:tcPr>
          <w:p>
            <w:pPr>
              <w:spacing w:after="40" w:before="40"/>
            </w:pPr>
            <w:r/>
            <w:r>
              <w:rPr>
                <w:sz w:val="19"/>
              </w:rPr>
              <w:t>It shows leads aged-ticket information they can already get from ServiceNow today, organised more usefully. What is genuinely new is the per-agent rollup on one page, and optionally a compliance average from the existing ticket audit tool. So: it does not create new surveillance, but it does make existing information easier to see. You should know that rather than find out later.</w:t>
            </w:r>
          </w:p>
        </w:tc>
      </w:tr>
      <w:tr>
        <w:tc>
          <w:tcPr>
            <w:tcW w:type="dxa" w:w="2835"/>
          </w:tcPr>
          <w:p>
            <w:pPr>
              <w:spacing w:after="40" w:before="40"/>
            </w:pPr>
            <w:r/>
            <w:r>
              <w:rPr>
                <w:sz w:val="19"/>
              </w:rPr>
              <w:t>Will my manager see a score for me?</w:t>
            </w:r>
          </w:p>
        </w:tc>
        <w:tc>
          <w:tcPr>
            <w:tcW w:type="dxa" w:w="6463"/>
          </w:tcPr>
          <w:p>
            <w:pPr>
              <w:spacing w:after="40" w:before="40"/>
            </w:pPr>
            <w:r/>
            <w:r>
              <w:rPr>
                <w:sz w:val="19"/>
              </w:rPr>
              <w:t>There is no score for a person. The By agent page shows counts — how many aged tickets, average idle days, SLA breaches. If the audit link is switched on it also shows your 30-day compliance average, which already exists in the audit tool.</w:t>
            </w:r>
          </w:p>
        </w:tc>
      </w:tr>
      <w:tr>
        <w:tc>
          <w:tcPr>
            <w:tcW w:type="dxa" w:w="2835"/>
          </w:tcPr>
          <w:p>
            <w:pPr>
              <w:spacing w:after="40" w:before="40"/>
            </w:pPr>
            <w:r/>
            <w:r>
              <w:rPr>
                <w:sz w:val="19"/>
              </w:rPr>
              <w:t>Could this be used against me?</w:t>
            </w:r>
          </w:p>
        </w:tc>
        <w:tc>
          <w:tcPr>
            <w:tcW w:type="dxa" w:w="6463"/>
          </w:tcPr>
          <w:p>
            <w:pPr>
              <w:spacing w:after="40" w:before="40"/>
            </w:pPr>
            <w:r/>
            <w:r>
              <w:rPr>
                <w:sz w:val="19"/>
              </w:rPr>
              <w:t>The manual explicitly tells leads to treat the page as a conversation starter and to open the actual tickets before drawing conclusions, because high numbers usually mean a hard queue or time off rather than poor work. If it is being used as a league table, that is a management issue worth raising.</w:t>
            </w:r>
          </w:p>
        </w:tc>
      </w:tr>
      <w:tr>
        <w:tc>
          <w:tcPr>
            <w:tcW w:type="dxa" w:w="2835"/>
          </w:tcPr>
          <w:p>
            <w:pPr>
              <w:spacing w:after="40" w:before="40"/>
            </w:pPr>
            <w:r/>
            <w:r>
              <w:rPr>
                <w:sz w:val="19"/>
              </w:rPr>
              <w:t>Is it going to replace support jobs?</w:t>
            </w:r>
          </w:p>
        </w:tc>
        <w:tc>
          <w:tcPr>
            <w:tcW w:type="dxa" w:w="6463"/>
          </w:tcPr>
          <w:p>
            <w:pPr>
              <w:spacing w:after="40" w:before="40"/>
            </w:pPr>
            <w:r/>
            <w:r>
              <w:rPr>
                <w:sz w:val="19"/>
              </w:rPr>
              <w:t>It does not resolve tickets, talk to callers or make decisions. It removes the reading that leads currently do before they can decide anything.</w:t>
            </w:r>
          </w:p>
        </w:tc>
      </w:tr>
      <w:tr>
        <w:tc>
          <w:tcPr>
            <w:tcW w:type="dxa" w:w="2835"/>
          </w:tcPr>
          <w:p>
            <w:pPr>
              <w:spacing w:after="40" w:before="40"/>
            </w:pPr>
            <w:r/>
            <w:r>
              <w:rPr>
                <w:sz w:val="19"/>
              </w:rPr>
              <w:t>Is my writing being judged by an AI?</w:t>
            </w:r>
          </w:p>
        </w:tc>
        <w:tc>
          <w:tcPr>
            <w:tcW w:type="dxa" w:w="6463"/>
          </w:tcPr>
          <w:p>
            <w:pPr>
              <w:spacing w:after="40" w:before="40"/>
            </w:pPr>
            <w:r/>
            <w:r>
              <w:rPr>
                <w:sz w:val="19"/>
              </w:rPr>
              <w:t>The tool reads work notes to work out what happened and whether follow-ups were made. It produces one coaching line per ticket aimed at the lead — about handling, not about writing style.</w:t>
            </w:r>
          </w:p>
        </w:tc>
      </w:tr>
      <w:tr>
        <w:tc>
          <w:tcPr>
            <w:tcW w:type="dxa" w:w="2835"/>
          </w:tcPr>
          <w:p>
            <w:pPr>
              <w:spacing w:after="40" w:before="40"/>
            </w:pPr>
            <w:r/>
            <w:r>
              <w:rPr>
                <w:sz w:val="19"/>
              </w:rPr>
              <w:t>What if I just ignore it?</w:t>
            </w:r>
          </w:p>
        </w:tc>
        <w:tc>
          <w:tcPr>
            <w:tcW w:type="dxa" w:w="6463"/>
          </w:tcPr>
          <w:p>
            <w:pPr>
              <w:spacing w:after="40" w:before="40"/>
            </w:pPr>
            <w:r/>
            <w:r>
              <w:rPr>
                <w:sz w:val="19"/>
              </w:rPr>
              <w:t>Nothing happens automatically. But the digest is usually faster than the conversation you would otherwise have with your lead, so it is generally worth the five minutes.</w:t>
            </w:r>
          </w:p>
        </w:tc>
      </w:tr>
    </w:tbl>
    <w:p>
      <w:pPr>
        <w:spacing w:after="80"/>
      </w:pPr>
    </w:p>
    <w:p>
      <w:r>
        <w:br w:type="page"/>
      </w:r>
    </w:p>
    <w:p>
      <w:pPr>
        <w:pStyle w:val="Heading1"/>
      </w:pPr>
      <w:r>
        <w:t>8. Privacy and your data</w:t>
      </w:r>
    </w:p>
    <w:p>
      <w:pPr>
        <w:pStyle w:val="Heading2"/>
      </w:pPr>
      <w:r>
        <w:t>8.1 What the tool reads</w:t>
      </w:r>
    </w:p>
    <w:tbl>
      <w:tblPr>
        <w:tblStyle w:val="TableGrid"/>
        <w:tblW w:type="auto" w:w="0"/>
        <w:jc w:val="left"/>
        <w:tblLayout w:type="autofit"/>
        <w:tblLook w:firstColumn="1" w:firstRow="1" w:lastColumn="0" w:lastRow="0" w:noHBand="0" w:noVBand="1" w:val="04A0"/>
      </w:tblPr>
      <w:tblGrid>
        <w:gridCol w:w="4929"/>
        <w:gridCol w:w="4929"/>
      </w:tblGrid>
      <w:tr>
        <w:tc>
          <w:tcPr>
            <w:tcW w:type="dxa" w:w="2494"/>
            <w:shd w:val="clear" w:color="auto" w:fill="E8E8E3"/>
          </w:tcPr>
          <w:p>
            <w:pPr>
              <w:spacing w:after="40" w:before="40"/>
            </w:pPr>
            <w:r/>
            <w:r>
              <w:rPr>
                <w:b/>
                <w:sz w:val="19"/>
              </w:rPr>
              <w:t>Source</w:t>
            </w:r>
          </w:p>
        </w:tc>
        <w:tc>
          <w:tcPr>
            <w:tcW w:type="dxa" w:w="6803"/>
            <w:shd w:val="clear" w:color="auto" w:fill="E8E8E3"/>
          </w:tcPr>
          <w:p>
            <w:pPr>
              <w:spacing w:after="40" w:before="40"/>
            </w:pPr>
            <w:r/>
            <w:r>
              <w:rPr>
                <w:b/>
                <w:sz w:val="19"/>
              </w:rPr>
              <w:t>What it reads</w:t>
            </w:r>
          </w:p>
        </w:tc>
      </w:tr>
      <w:tr>
        <w:tc>
          <w:tcPr>
            <w:tcW w:type="dxa" w:w="2494"/>
          </w:tcPr>
          <w:p>
            <w:pPr>
              <w:spacing w:after="40" w:before="40"/>
            </w:pPr>
            <w:r/>
            <w:r>
              <w:rPr>
                <w:sz w:val="19"/>
              </w:rPr>
              <w:t>Incidents</w:t>
            </w:r>
          </w:p>
        </w:tc>
        <w:tc>
          <w:tcPr>
            <w:tcW w:type="dxa" w:w="6803"/>
          </w:tcPr>
          <w:p>
            <w:pPr>
              <w:spacing w:after="40" w:before="40"/>
            </w:pPr>
            <w:r/>
            <w:r>
              <w:rPr>
                <w:sz w:val="19"/>
              </w:rPr>
              <w:t>Standard fields — description, category, priority, state, hold reason, assignment, caller, timestamps</w:t>
            </w:r>
          </w:p>
        </w:tc>
      </w:tr>
      <w:tr>
        <w:tc>
          <w:tcPr>
            <w:tcW w:type="dxa" w:w="2494"/>
          </w:tcPr>
          <w:p>
            <w:pPr>
              <w:spacing w:after="40" w:before="40"/>
            </w:pPr>
            <w:r/>
            <w:r>
              <w:rPr>
                <w:sz w:val="19"/>
              </w:rPr>
              <w:t>Ticket history</w:t>
            </w:r>
          </w:p>
        </w:tc>
        <w:tc>
          <w:tcPr>
            <w:tcW w:type="dxa" w:w="6803"/>
          </w:tcPr>
          <w:p>
            <w:pPr>
              <w:spacing w:after="40" w:before="40"/>
            </w:pPr>
            <w:r/>
            <w:r>
              <w:rPr>
                <w:sz w:val="19"/>
              </w:rPr>
              <w:t>Who changed what and when, including work notes and comments</w:t>
            </w:r>
          </w:p>
        </w:tc>
      </w:tr>
      <w:tr>
        <w:tc>
          <w:tcPr>
            <w:tcW w:type="dxa" w:w="2494"/>
          </w:tcPr>
          <w:p>
            <w:pPr>
              <w:spacing w:after="40" w:before="40"/>
            </w:pPr>
            <w:r/>
            <w:r>
              <w:rPr>
                <w:sz w:val="19"/>
              </w:rPr>
              <w:t>SLA records</w:t>
            </w:r>
          </w:p>
        </w:tc>
        <w:tc>
          <w:tcPr>
            <w:tcW w:type="dxa" w:w="6803"/>
          </w:tcPr>
          <w:p>
            <w:pPr>
              <w:spacing w:after="40" w:before="40"/>
            </w:pPr>
            <w:r/>
            <w:r>
              <w:rPr>
                <w:sz w:val="19"/>
              </w:rPr>
              <w:t>Breach state, percentage consumed, planned end time</w:t>
            </w:r>
          </w:p>
        </w:tc>
      </w:tr>
      <w:tr>
        <w:tc>
          <w:tcPr>
            <w:tcW w:type="dxa" w:w="2494"/>
          </w:tcPr>
          <w:p>
            <w:pPr>
              <w:spacing w:after="40" w:before="40"/>
            </w:pPr>
            <w:r/>
            <w:r>
              <w:rPr>
                <w:sz w:val="19"/>
              </w:rPr>
              <w:t>Knowledge articles</w:t>
            </w:r>
          </w:p>
        </w:tc>
        <w:tc>
          <w:tcPr>
            <w:tcW w:type="dxa" w:w="6803"/>
          </w:tcPr>
          <w:p>
            <w:pPr>
              <w:spacing w:after="40" w:before="40"/>
            </w:pPr>
            <w:r/>
            <w:r>
              <w:rPr>
                <w:sz w:val="19"/>
              </w:rPr>
              <w:t>Published articles, to find relevant ones</w:t>
            </w:r>
          </w:p>
        </w:tc>
      </w:tr>
      <w:tr>
        <w:tc>
          <w:tcPr>
            <w:tcW w:type="dxa" w:w="2494"/>
          </w:tcPr>
          <w:p>
            <w:pPr>
              <w:spacing w:after="40" w:before="40"/>
            </w:pPr>
            <w:r/>
            <w:r>
              <w:rPr>
                <w:sz w:val="19"/>
              </w:rPr>
              <w:t>Change and problem records</w:t>
            </w:r>
          </w:p>
        </w:tc>
        <w:tc>
          <w:tcPr>
            <w:tcW w:type="dxa" w:w="6803"/>
          </w:tcPr>
          <w:p>
            <w:pPr>
              <w:spacing w:after="40" w:before="40"/>
            </w:pPr>
            <w:r/>
            <w:r>
              <w:rPr>
                <w:sz w:val="19"/>
              </w:rPr>
              <w:t>Only the number and state of a linked record, to see whether it has closed</w:t>
            </w:r>
          </w:p>
        </w:tc>
      </w:tr>
      <w:tr>
        <w:tc>
          <w:tcPr>
            <w:tcW w:type="dxa" w:w="2494"/>
          </w:tcPr>
          <w:p>
            <w:pPr>
              <w:spacing w:after="40" w:before="40"/>
            </w:pPr>
            <w:r/>
            <w:r>
              <w:rPr>
                <w:sz w:val="19"/>
              </w:rPr>
              <w:t>Resolved incidents</w:t>
            </w:r>
          </w:p>
        </w:tc>
        <w:tc>
          <w:tcPr>
            <w:tcW w:type="dxa" w:w="6803"/>
          </w:tcPr>
          <w:p>
            <w:pPr>
              <w:spacing w:after="40" w:before="40"/>
            </w:pPr>
            <w:r/>
            <w:r>
              <w:rPr>
                <w:sz w:val="19"/>
              </w:rPr>
              <w:t>Closure notes from past tickets, to learn what fixes what</w:t>
            </w:r>
          </w:p>
        </w:tc>
      </w:tr>
    </w:tbl>
    <w:p>
      <w:pPr>
        <w:spacing w:after="80"/>
      </w:pPr>
    </w:p>
    <w:p>
      <w:r>
        <w:rPr>
          <w:b w:val="0"/>
          <w:i w:val="0"/>
          <w:sz w:val="21"/>
        </w:rPr>
        <w:t>All of this is data that leads can already see in ServiceNow. Nothing hidden is being surfaced.</w:t>
      </w:r>
    </w:p>
    <w:p>
      <w:pPr>
        <w:pStyle w:val="Heading2"/>
      </w:pPr>
      <w:r>
        <w:t>8.2 What is hidden before anything reaches the AI</w:t>
      </w:r>
    </w:p>
    <w:p>
      <w:r>
        <w:rPr>
          <w:b w:val="0"/>
          <w:i w:val="0"/>
          <w:sz w:val="21"/>
        </w:rPr>
        <w:t>Ticket text is scrubbed before it is sent to the language model. Replaced with placeholders:</w:t>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Masked</w:t>
            </w:r>
          </w:p>
        </w:tc>
        <w:tc>
          <w:tcPr>
            <w:tcW w:type="dxa" w:w="6463"/>
            <w:shd w:val="clear" w:color="auto" w:fill="E8E8E3"/>
          </w:tcPr>
          <w:p>
            <w:pPr>
              <w:spacing w:after="40" w:before="40"/>
            </w:pPr>
            <w:r/>
            <w:r>
              <w:rPr>
                <w:b/>
                <w:sz w:val="19"/>
              </w:rPr>
              <w:t>Examples</w:t>
            </w:r>
          </w:p>
        </w:tc>
      </w:tr>
      <w:tr>
        <w:tc>
          <w:tcPr>
            <w:tcW w:type="dxa" w:w="2835"/>
          </w:tcPr>
          <w:p>
            <w:pPr>
              <w:spacing w:after="40" w:before="40"/>
            </w:pPr>
            <w:r/>
            <w:r>
              <w:rPr>
                <w:sz w:val="19"/>
              </w:rPr>
              <w:t>Email addresses</w:t>
            </w:r>
          </w:p>
        </w:tc>
        <w:tc>
          <w:tcPr>
            <w:tcW w:type="dxa" w:w="6463"/>
          </w:tcPr>
          <w:p>
            <w:pPr>
              <w:spacing w:after="40" w:before="40"/>
            </w:pPr>
            <w:r/>
            <w:r>
              <w:rPr>
                <w:sz w:val="19"/>
              </w:rPr>
              <w:t>jamie.fox@example.com</w:t>
            </w:r>
          </w:p>
        </w:tc>
      </w:tr>
      <w:tr>
        <w:tc>
          <w:tcPr>
            <w:tcW w:type="dxa" w:w="2835"/>
          </w:tcPr>
          <w:p>
            <w:pPr>
              <w:spacing w:after="40" w:before="40"/>
            </w:pPr>
            <w:r/>
            <w:r>
              <w:rPr>
                <w:sz w:val="19"/>
              </w:rPr>
              <w:t>Phone numbers</w:t>
            </w:r>
          </w:p>
        </w:tc>
        <w:tc>
          <w:tcPr>
            <w:tcW w:type="dxa" w:w="6463"/>
          </w:tcPr>
          <w:p>
            <w:pPr>
              <w:spacing w:after="40" w:before="40"/>
            </w:pPr>
            <w:r/>
            <w:r>
              <w:rPr>
                <w:sz w:val="19"/>
              </w:rPr>
              <w:t>Any recognisable phone or mobile number</w:t>
            </w:r>
          </w:p>
        </w:tc>
      </w:tr>
      <w:tr>
        <w:tc>
          <w:tcPr>
            <w:tcW w:type="dxa" w:w="2835"/>
          </w:tcPr>
          <w:p>
            <w:pPr>
              <w:spacing w:after="40" w:before="40"/>
            </w:pPr>
            <w:r/>
            <w:r>
              <w:rPr>
                <w:sz w:val="19"/>
              </w:rPr>
              <w:t>Payment and identity numbers</w:t>
            </w:r>
          </w:p>
        </w:tc>
        <w:tc>
          <w:tcPr>
            <w:tcW w:type="dxa" w:w="6463"/>
          </w:tcPr>
          <w:p>
            <w:pPr>
              <w:spacing w:after="40" w:before="40"/>
            </w:pPr>
            <w:r/>
            <w:r>
              <w:rPr>
                <w:sz w:val="19"/>
              </w:rPr>
              <w:t>Card numbers, national ID and social security formats, IBANs</w:t>
            </w:r>
          </w:p>
        </w:tc>
      </w:tr>
      <w:tr>
        <w:tc>
          <w:tcPr>
            <w:tcW w:type="dxa" w:w="2835"/>
          </w:tcPr>
          <w:p>
            <w:pPr>
              <w:spacing w:after="40" w:before="40"/>
            </w:pPr>
            <w:r/>
            <w:r>
              <w:rPr>
                <w:sz w:val="19"/>
              </w:rPr>
              <w:t>Credentials</w:t>
            </w:r>
          </w:p>
        </w:tc>
        <w:tc>
          <w:tcPr>
            <w:tcW w:type="dxa" w:w="6463"/>
          </w:tcPr>
          <w:p>
            <w:pPr>
              <w:spacing w:after="40" w:before="40"/>
            </w:pPr>
            <w:r/>
            <w:r>
              <w:rPr>
                <w:sz w:val="19"/>
              </w:rPr>
              <w:t>Anything written as "password is X", "token: Y" and similar</w:t>
            </w:r>
          </w:p>
        </w:tc>
      </w:tr>
      <w:tr>
        <w:tc>
          <w:tcPr>
            <w:tcW w:type="dxa" w:w="2835"/>
          </w:tcPr>
          <w:p>
            <w:pPr>
              <w:spacing w:after="40" w:before="40"/>
            </w:pPr>
            <w:r/>
            <w:r>
              <w:rPr>
                <w:sz w:val="19"/>
              </w:rPr>
              <w:t>Keys and tokens</w:t>
            </w:r>
          </w:p>
        </w:tc>
        <w:tc>
          <w:tcPr>
            <w:tcW w:type="dxa" w:w="6463"/>
          </w:tcPr>
          <w:p>
            <w:pPr>
              <w:spacing w:after="40" w:before="40"/>
            </w:pPr>
            <w:r/>
            <w:r>
              <w:rPr>
                <w:sz w:val="19"/>
              </w:rPr>
              <w:t>API keys, JWTs, private key blocks</w:t>
            </w:r>
          </w:p>
        </w:tc>
      </w:tr>
      <w:tr>
        <w:tc>
          <w:tcPr>
            <w:tcW w:type="dxa" w:w="2835"/>
          </w:tcPr>
          <w:p>
            <w:pPr>
              <w:spacing w:after="40" w:before="40"/>
            </w:pPr>
            <w:r/>
            <w:r>
              <w:rPr>
                <w:sz w:val="19"/>
              </w:rPr>
              <w:t>IP addresses</w:t>
            </w:r>
          </w:p>
        </w:tc>
        <w:tc>
          <w:tcPr>
            <w:tcW w:type="dxa" w:w="6463"/>
          </w:tcPr>
          <w:p>
            <w:pPr>
              <w:spacing w:after="40" w:before="40"/>
            </w:pPr>
            <w:r/>
            <w:r>
              <w:rPr>
                <w:sz w:val="19"/>
              </w:rPr>
              <w:t>Internal addressing</w:t>
            </w:r>
          </w:p>
        </w:tc>
      </w:tr>
    </w:tbl>
    <w:p>
      <w:pPr>
        <w:spacing w:after="80"/>
      </w:pPr>
    </w:p>
    <w:p>
      <w:r>
        <w:rPr>
          <w:b w:val="0"/>
          <w:i w:val="0"/>
          <w:sz w:val="21"/>
        </w:rPr>
        <w:t>Placeholders look like [[EMAIL_1]] or [[PHONE_2]]. The real values are put back before anything is shown to you, so a drafted message still reads properly — but the model itself never saw them.</w:t>
      </w:r>
    </w:p>
    <w:p>
      <w:pPr>
        <w:pStyle w:val="Heading2"/>
      </w:pPr>
      <w:r>
        <w:t>8.3 What is stored, and for how long</w:t>
      </w:r>
    </w:p>
    <w:tbl>
      <w:tblPr>
        <w:tblStyle w:val="TableGrid"/>
        <w:tblW w:type="auto" w:w="0"/>
        <w:jc w:val="left"/>
        <w:tblLayout w:type="autofit"/>
        <w:tblLook w:firstColumn="1" w:firstRow="1" w:lastColumn="0" w:lastRow="0" w:noHBand="0" w:noVBand="1" w:val="04A0"/>
      </w:tblPr>
      <w:tblGrid>
        <w:gridCol w:w="4929"/>
        <w:gridCol w:w="4929"/>
      </w:tblGrid>
      <w:tr>
        <w:tc>
          <w:tcPr>
            <w:tcW w:type="dxa" w:w="3402"/>
            <w:shd w:val="clear" w:color="auto" w:fill="E8E8E3"/>
          </w:tcPr>
          <w:p>
            <w:pPr>
              <w:spacing w:after="40" w:before="40"/>
            </w:pPr>
            <w:r/>
            <w:r>
              <w:rPr>
                <w:b/>
                <w:sz w:val="19"/>
              </w:rPr>
              <w:t>Stored</w:t>
            </w:r>
          </w:p>
        </w:tc>
        <w:tc>
          <w:tcPr>
            <w:tcW w:type="dxa" w:w="5896"/>
            <w:shd w:val="clear" w:color="auto" w:fill="E8E8E3"/>
          </w:tcPr>
          <w:p>
            <w:pPr>
              <w:spacing w:after="40" w:before="40"/>
            </w:pPr>
            <w:r/>
            <w:r>
              <w:rPr>
                <w:b/>
                <w:sz w:val="19"/>
              </w:rPr>
              <w:t>Retention</w:t>
            </w:r>
          </w:p>
        </w:tc>
      </w:tr>
      <w:tr>
        <w:tc>
          <w:tcPr>
            <w:tcW w:type="dxa" w:w="3402"/>
          </w:tcPr>
          <w:p>
            <w:pPr>
              <w:spacing w:after="40" w:before="40"/>
            </w:pPr>
            <w:r/>
            <w:r>
              <w:rPr>
                <w:sz w:val="19"/>
              </w:rPr>
              <w:t>Ticket snapshot and computed signals</w:t>
            </w:r>
          </w:p>
        </w:tc>
        <w:tc>
          <w:tcPr>
            <w:tcW w:type="dxa" w:w="5896"/>
          </w:tcPr>
          <w:p>
            <w:pPr>
              <w:spacing w:after="40" w:before="40"/>
            </w:pPr>
            <w:r/>
            <w:r>
              <w:rPr>
                <w:sz w:val="19"/>
              </w:rPr>
              <w:t>180 days of history, then automatically deleted</w:t>
            </w:r>
          </w:p>
        </w:tc>
      </w:tr>
      <w:tr>
        <w:tc>
          <w:tcPr>
            <w:tcW w:type="dxa" w:w="3402"/>
          </w:tcPr>
          <w:p>
            <w:pPr>
              <w:spacing w:after="40" w:before="40"/>
            </w:pPr>
            <w:r/>
            <w:r>
              <w:rPr>
                <w:sz w:val="19"/>
              </w:rPr>
              <w:t>Suggestions and their reasoning</w:t>
            </w:r>
          </w:p>
        </w:tc>
        <w:tc>
          <w:tcPr>
            <w:tcW w:type="dxa" w:w="5896"/>
          </w:tcPr>
          <w:p>
            <w:pPr>
              <w:spacing w:after="40" w:before="40"/>
            </w:pPr>
            <w:r/>
            <w:r>
              <w:rPr>
                <w:sz w:val="19"/>
              </w:rPr>
              <w:t>180 days once superseded</w:t>
            </w:r>
          </w:p>
        </w:tc>
      </w:tr>
      <w:tr>
        <w:tc>
          <w:tcPr>
            <w:tcW w:type="dxa" w:w="3402"/>
          </w:tcPr>
          <w:p>
            <w:pPr>
              <w:spacing w:after="40" w:before="40"/>
            </w:pPr>
            <w:r/>
            <w:r>
              <w:rPr>
                <w:sz w:val="19"/>
              </w:rPr>
              <w:t>Verdicts leads record</w:t>
            </w:r>
          </w:p>
        </w:tc>
        <w:tc>
          <w:tcPr>
            <w:tcW w:type="dxa" w:w="5896"/>
          </w:tcPr>
          <w:p>
            <w:pPr>
              <w:spacing w:after="40" w:before="40"/>
            </w:pPr>
            <w:r/>
            <w:r>
              <w:rPr>
                <w:sz w:val="19"/>
              </w:rPr>
              <w:t>Kept — this is the accuracy record</w:t>
            </w:r>
          </w:p>
        </w:tc>
      </w:tr>
      <w:tr>
        <w:tc>
          <w:tcPr>
            <w:tcW w:type="dxa" w:w="3402"/>
          </w:tcPr>
          <w:p>
            <w:pPr>
              <w:spacing w:after="40" w:before="40"/>
            </w:pPr>
            <w:r/>
            <w:r>
              <w:rPr>
                <w:sz w:val="19"/>
              </w:rPr>
              <w:t>Alert history</w:t>
            </w:r>
          </w:p>
        </w:tc>
        <w:tc>
          <w:tcPr>
            <w:tcW w:type="dxa" w:w="5896"/>
          </w:tcPr>
          <w:p>
            <w:pPr>
              <w:spacing w:after="40" w:before="40"/>
            </w:pPr>
            <w:r/>
            <w:r>
              <w:rPr>
                <w:sz w:val="19"/>
              </w:rPr>
              <w:t>180 days</w:t>
            </w:r>
          </w:p>
        </w:tc>
      </w:tr>
      <w:tr>
        <w:tc>
          <w:tcPr>
            <w:tcW w:type="dxa" w:w="3402"/>
          </w:tcPr>
          <w:p>
            <w:pPr>
              <w:spacing w:after="40" w:before="40"/>
            </w:pPr>
            <w:r/>
            <w:r>
              <w:rPr>
                <w:sz w:val="19"/>
              </w:rPr>
              <w:t>Email delivery log</w:t>
            </w:r>
          </w:p>
        </w:tc>
        <w:tc>
          <w:tcPr>
            <w:tcW w:type="dxa" w:w="5896"/>
          </w:tcPr>
          <w:p>
            <w:pPr>
              <w:spacing w:after="40" w:before="40"/>
            </w:pPr>
            <w:r/>
            <w:r>
              <w:rPr>
                <w:sz w:val="19"/>
              </w:rPr>
              <w:t>Kept</w:t>
            </w:r>
          </w:p>
        </w:tc>
      </w:tr>
    </w:tbl>
    <w:p>
      <w:pPr>
        <w:spacing w:after="80"/>
      </w:pPr>
    </w:p>
    <w:p>
      <w:r>
        <w:rPr>
          <w:b w:val="0"/>
          <w:i w:val="0"/>
          <w:sz w:val="21"/>
        </w:rPr>
        <w:t>Everything lives in a database on your own infrastructure. The only thing that leaves the estate is the masked text sent to your organisation's own Azure OpenAI service.</w:t>
      </w:r>
    </w:p>
    <w:p>
      <w:pPr>
        <w:pStyle w:val="Heading2"/>
      </w:pPr>
      <w:r>
        <w:t>8.4 Who can see what</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361"/>
            <w:shd w:val="clear" w:color="auto" w:fill="E8E8E3"/>
          </w:tcPr>
          <w:p>
            <w:pPr>
              <w:spacing w:after="40" w:before="40"/>
            </w:pPr>
            <w:r/>
            <w:r>
              <w:rPr>
                <w:b/>
                <w:sz w:val="19"/>
              </w:rPr>
              <w:t>Role</w:t>
            </w:r>
          </w:p>
        </w:tc>
        <w:tc>
          <w:tcPr>
            <w:tcW w:type="dxa" w:w="3969"/>
            <w:shd w:val="clear" w:color="auto" w:fill="E8E8E3"/>
          </w:tcPr>
          <w:p>
            <w:pPr>
              <w:spacing w:after="40" w:before="40"/>
            </w:pPr>
            <w:r/>
            <w:r>
              <w:rPr>
                <w:b/>
                <w:sz w:val="19"/>
              </w:rPr>
              <w:t>Can see</w:t>
            </w:r>
          </w:p>
        </w:tc>
        <w:tc>
          <w:tcPr>
            <w:tcW w:type="dxa" w:w="3969"/>
            <w:shd w:val="clear" w:color="auto" w:fill="E8E8E3"/>
          </w:tcPr>
          <w:p>
            <w:pPr>
              <w:spacing w:after="40" w:before="40"/>
            </w:pPr>
            <w:r/>
            <w:r>
              <w:rPr>
                <w:b/>
                <w:sz w:val="19"/>
              </w:rPr>
              <w:t>Can do</w:t>
            </w:r>
          </w:p>
        </w:tc>
      </w:tr>
      <w:tr>
        <w:tc>
          <w:tcPr>
            <w:tcW w:type="dxa" w:w="1361"/>
          </w:tcPr>
          <w:p>
            <w:pPr>
              <w:spacing w:after="40" w:before="40"/>
            </w:pPr>
            <w:r/>
            <w:r>
              <w:rPr>
                <w:sz w:val="19"/>
              </w:rPr>
              <w:t>Viewer</w:t>
            </w:r>
          </w:p>
        </w:tc>
        <w:tc>
          <w:tcPr>
            <w:tcW w:type="dxa" w:w="3969"/>
          </w:tcPr>
          <w:p>
            <w:pPr>
              <w:spacing w:after="40" w:before="40"/>
            </w:pPr>
            <w:r/>
            <w:r>
              <w:rPr>
                <w:sz w:val="19"/>
              </w:rPr>
              <w:t>The board, ticket pages, agent rollup, accuracy</w:t>
            </w:r>
          </w:p>
        </w:tc>
        <w:tc>
          <w:tcPr>
            <w:tcW w:type="dxa" w:w="3969"/>
          </w:tcPr>
          <w:p>
            <w:pPr>
              <w:spacing w:after="40" w:before="40"/>
            </w:pPr>
            <w:r/>
            <w:r>
              <w:rPr>
                <w:sz w:val="19"/>
              </w:rPr>
              <w:t>Nothing — read only</w:t>
            </w:r>
          </w:p>
        </w:tc>
      </w:tr>
      <w:tr>
        <w:tc>
          <w:tcPr>
            <w:tcW w:type="dxa" w:w="1361"/>
          </w:tcPr>
          <w:p>
            <w:pPr>
              <w:spacing w:after="40" w:before="40"/>
            </w:pPr>
            <w:r/>
            <w:r>
              <w:rPr>
                <w:sz w:val="19"/>
              </w:rPr>
              <w:t>Lead</w:t>
            </w:r>
          </w:p>
        </w:tc>
        <w:tc>
          <w:tcPr>
            <w:tcW w:type="dxa" w:w="3969"/>
          </w:tcPr>
          <w:p>
            <w:pPr>
              <w:spacing w:after="40" w:before="40"/>
            </w:pPr>
            <w:r/>
            <w:r>
              <w:rPr>
                <w:sz w:val="19"/>
              </w:rPr>
              <w:t>The same</w:t>
            </w:r>
          </w:p>
        </w:tc>
        <w:tc>
          <w:tcPr>
            <w:tcW w:type="dxa" w:w="3969"/>
          </w:tcPr>
          <w:p>
            <w:pPr>
              <w:spacing w:after="40" w:before="40"/>
            </w:pPr>
            <w:r/>
            <w:r>
              <w:rPr>
                <w:sz w:val="19"/>
              </w:rPr>
              <w:t>Record verdicts, snooze, request re-analysis</w:t>
            </w:r>
          </w:p>
        </w:tc>
      </w:tr>
      <w:tr>
        <w:tc>
          <w:tcPr>
            <w:tcW w:type="dxa" w:w="1361"/>
          </w:tcPr>
          <w:p>
            <w:pPr>
              <w:spacing w:after="40" w:before="40"/>
            </w:pPr>
            <w:r/>
            <w:r>
              <w:rPr>
                <w:sz w:val="19"/>
              </w:rPr>
              <w:t>Admin</w:t>
            </w:r>
          </w:p>
        </w:tc>
        <w:tc>
          <w:tcPr>
            <w:tcW w:type="dxa" w:w="3969"/>
          </w:tcPr>
          <w:p>
            <w:pPr>
              <w:spacing w:after="40" w:before="40"/>
            </w:pPr>
            <w:r/>
            <w:r>
              <w:rPr>
                <w:sz w:val="19"/>
              </w:rPr>
              <w:t>The same</w:t>
            </w:r>
          </w:p>
        </w:tc>
        <w:tc>
          <w:tcPr>
            <w:tcW w:type="dxa" w:w="3969"/>
          </w:tcPr>
          <w:p>
            <w:pPr>
              <w:spacing w:after="40" w:before="40"/>
            </w:pPr>
            <w:r/>
            <w:r>
              <w:rPr>
                <w:sz w:val="19"/>
              </w:rPr>
              <w:t>All lead actions, plus tune the score and send digests manually</w:t>
            </w:r>
          </w:p>
        </w:tc>
      </w:tr>
    </w:tbl>
    <w:p>
      <w:pPr>
        <w:spacing w:after="80"/>
      </w:pPr>
    </w:p>
    <w:p>
      <w:r>
        <w:rPr>
          <w:b w:val="0"/>
          <w:i w:val="0"/>
          <w:sz w:val="21"/>
        </w:rPr>
        <w:t>Every account is scoped to one or more assignment groups, and sees only those groups on the board, in the agent rollup and in its email. Administrators are the exception: they see the whole estate, because deciding access requests across it is their job.</w:t>
      </w:r>
    </w:p>
    <w:p>
      <w:r>
        <w:rPr>
          <w:b w:val="0"/>
          <w:i w:val="0"/>
          <w:sz w:val="21"/>
        </w:rPr>
        <w:t>Email follows the same boundary. One message is sent per assignment group — the lead digest to that group's leads, risk alerts to its leads and viewers, with the group named in the subject and every administrator copied. If you lead three groups you will receive three digests rather than one combined one, so each can be forwarded or filed on its own.</w:t>
      </w:r>
    </w:p>
    <w:p>
      <w:r>
        <w:rPr>
          <w:b w:val="0"/>
          <w:i w:val="0"/>
          <w:sz w:val="21"/>
        </w:rPr>
        <w:t>If your board is empty and the page says no assignment groups are in scope, your account has not been given any yet. Request access from your profile page.</w:t>
      </w:r>
    </w:p>
    <w:p>
      <w:r>
        <w:br w:type="page"/>
      </w:r>
    </w:p>
    <w:p>
      <w:pPr>
        <w:pStyle w:val="Heading1"/>
      </w:pPr>
      <w:r>
        <w:t>9. Glossary</w:t>
      </w:r>
    </w:p>
    <w:tbl>
      <w:tblPr>
        <w:tblStyle w:val="TableGrid"/>
        <w:tblW w:type="auto" w:w="0"/>
        <w:jc w:val="left"/>
        <w:tblLayout w:type="autofit"/>
        <w:tblLook w:firstColumn="1" w:firstRow="1" w:lastColumn="0" w:lastRow="0" w:noHBand="0" w:noVBand="1" w:val="04A0"/>
      </w:tblPr>
      <w:tblGrid>
        <w:gridCol w:w="4929"/>
        <w:gridCol w:w="4929"/>
      </w:tblGrid>
      <w:tr>
        <w:tc>
          <w:tcPr>
            <w:tcW w:type="dxa" w:w="2041"/>
            <w:shd w:val="clear" w:color="auto" w:fill="E8E8E3"/>
          </w:tcPr>
          <w:p>
            <w:pPr>
              <w:spacing w:after="40" w:before="40"/>
            </w:pPr>
            <w:r/>
            <w:r>
              <w:rPr>
                <w:b/>
                <w:sz w:val="19"/>
              </w:rPr>
              <w:t>Term</w:t>
            </w:r>
          </w:p>
        </w:tc>
        <w:tc>
          <w:tcPr>
            <w:tcW w:type="dxa" w:w="7257"/>
            <w:shd w:val="clear" w:color="auto" w:fill="E8E8E3"/>
          </w:tcPr>
          <w:p>
            <w:pPr>
              <w:spacing w:after="40" w:before="40"/>
            </w:pPr>
            <w:r/>
            <w:r>
              <w:rPr>
                <w:b/>
                <w:sz w:val="19"/>
              </w:rPr>
              <w:t>Meaning</w:t>
            </w:r>
          </w:p>
        </w:tc>
      </w:tr>
      <w:tr>
        <w:tc>
          <w:tcPr>
            <w:tcW w:type="dxa" w:w="2041"/>
          </w:tcPr>
          <w:p>
            <w:pPr>
              <w:spacing w:after="40" w:before="40"/>
            </w:pPr>
            <w:r/>
            <w:r>
              <w:rPr>
                <w:sz w:val="19"/>
              </w:rPr>
              <w:t>Aged ticket</w:t>
            </w:r>
          </w:p>
        </w:tc>
        <w:tc>
          <w:tcPr>
            <w:tcW w:type="dxa" w:w="7257"/>
          </w:tcPr>
          <w:p>
            <w:pPr>
              <w:spacing w:after="40" w:before="40"/>
            </w:pPr>
            <w:r/>
            <w:r>
              <w:rPr>
                <w:sz w:val="19"/>
              </w:rPr>
              <w:t>An open ticket older than the configured threshold, normally 5 days</w:t>
            </w:r>
          </w:p>
        </w:tc>
      </w:tr>
      <w:tr>
        <w:tc>
          <w:tcPr>
            <w:tcW w:type="dxa" w:w="2041"/>
          </w:tcPr>
          <w:p>
            <w:pPr>
              <w:spacing w:after="40" w:before="40"/>
            </w:pPr>
            <w:r/>
            <w:r>
              <w:rPr>
                <w:sz w:val="19"/>
              </w:rPr>
              <w:t>Attention score</w:t>
            </w:r>
          </w:p>
        </w:tc>
        <w:tc>
          <w:tcPr>
            <w:tcW w:type="dxa" w:w="7257"/>
          </w:tcPr>
          <w:p>
            <w:pPr>
              <w:spacing w:after="40" w:before="40"/>
            </w:pPr>
            <w:r/>
            <w:r>
              <w:rPr>
                <w:sz w:val="19"/>
              </w:rPr>
              <w:t>The 0–100 ranking number. Higher means look sooner</w:t>
            </w:r>
          </w:p>
        </w:tc>
      </w:tr>
      <w:tr>
        <w:tc>
          <w:tcPr>
            <w:tcW w:type="dxa" w:w="2041"/>
          </w:tcPr>
          <w:p>
            <w:pPr>
              <w:spacing w:after="40" w:before="40"/>
            </w:pPr>
            <w:r/>
            <w:r>
              <w:rPr>
                <w:sz w:val="19"/>
              </w:rPr>
              <w:t>Blocked by</w:t>
            </w:r>
          </w:p>
        </w:tc>
        <w:tc>
          <w:tcPr>
            <w:tcW w:type="dxa" w:w="7257"/>
          </w:tcPr>
          <w:p>
            <w:pPr>
              <w:spacing w:after="40" w:before="40"/>
            </w:pPr>
            <w:r/>
            <w:r>
              <w:rPr>
                <w:sz w:val="19"/>
              </w:rPr>
              <w:t>Who owes the next action: Us, Caller, Vendor, Change, Problem or Approval</w:t>
            </w:r>
          </w:p>
        </w:tc>
      </w:tr>
      <w:tr>
        <w:tc>
          <w:tcPr>
            <w:tcW w:type="dxa" w:w="2041"/>
          </w:tcPr>
          <w:p>
            <w:pPr>
              <w:spacing w:after="40" w:before="40"/>
            </w:pPr>
            <w:r/>
            <w:r>
              <w:rPr>
                <w:sz w:val="19"/>
              </w:rPr>
              <w:t>Closure candidate</w:t>
            </w:r>
          </w:p>
        </w:tc>
        <w:tc>
          <w:tcPr>
            <w:tcW w:type="dxa" w:w="7257"/>
          </w:tcPr>
          <w:p>
            <w:pPr>
              <w:spacing w:after="40" w:before="40"/>
            </w:pPr>
            <w:r/>
            <w:r>
              <w:rPr>
                <w:sz w:val="19"/>
              </w:rPr>
              <w:t>Follow-ups documented and caller silent long enough that closure is worth considering</w:t>
            </w:r>
          </w:p>
        </w:tc>
      </w:tr>
      <w:tr>
        <w:tc>
          <w:tcPr>
            <w:tcW w:type="dxa" w:w="2041"/>
          </w:tcPr>
          <w:p>
            <w:pPr>
              <w:spacing w:after="40" w:before="40"/>
            </w:pPr>
            <w:r/>
            <w:r>
              <w:rPr>
                <w:sz w:val="19"/>
              </w:rPr>
              <w:t>Confidence</w:t>
            </w:r>
          </w:p>
        </w:tc>
        <w:tc>
          <w:tcPr>
            <w:tcW w:type="dxa" w:w="7257"/>
          </w:tcPr>
          <w:p>
            <w:pPr>
              <w:spacing w:after="40" w:before="40"/>
            </w:pPr>
            <w:r/>
            <w:r>
              <w:rPr>
                <w:sz w:val="19"/>
              </w:rPr>
              <w:t>How sure the tool is about its suggestion. Below 50% is flagged as needing your review</w:t>
            </w:r>
          </w:p>
        </w:tc>
      </w:tr>
      <w:tr>
        <w:tc>
          <w:tcPr>
            <w:tcW w:type="dxa" w:w="2041"/>
          </w:tcPr>
          <w:p>
            <w:pPr>
              <w:spacing w:after="40" w:before="40"/>
            </w:pPr>
            <w:r/>
            <w:r>
              <w:rPr>
                <w:sz w:val="19"/>
              </w:rPr>
              <w:t>Digest</w:t>
            </w:r>
          </w:p>
        </w:tc>
        <w:tc>
          <w:tcPr>
            <w:tcW w:type="dxa" w:w="7257"/>
          </w:tcPr>
          <w:p>
            <w:pPr>
              <w:spacing w:after="40" w:before="40"/>
            </w:pPr>
            <w:r/>
            <w:r>
              <w:rPr>
                <w:sz w:val="19"/>
              </w:rPr>
              <w:t>The daily email. Leads get the whole queue; agents get their own tickets</w:t>
            </w:r>
          </w:p>
        </w:tc>
      </w:tr>
      <w:tr>
        <w:tc>
          <w:tcPr>
            <w:tcW w:type="dxa" w:w="2041"/>
          </w:tcPr>
          <w:p>
            <w:pPr>
              <w:spacing w:after="40" w:before="40"/>
            </w:pPr>
            <w:r/>
            <w:r>
              <w:rPr>
                <w:sz w:val="19"/>
              </w:rPr>
              <w:t>Evidence</w:t>
            </w:r>
          </w:p>
        </w:tc>
        <w:tc>
          <w:tcPr>
            <w:tcW w:type="dxa" w:w="7257"/>
          </w:tcPr>
          <w:p>
            <w:pPr>
              <w:spacing w:after="40" w:before="40"/>
            </w:pPr>
            <w:r/>
            <w:r>
              <w:rPr>
                <w:sz w:val="19"/>
              </w:rPr>
              <w:t>The specific past tickets and knowledge articles the suggestion was based on</w:t>
            </w:r>
          </w:p>
        </w:tc>
      </w:tr>
      <w:tr>
        <w:tc>
          <w:tcPr>
            <w:tcW w:type="dxa" w:w="2041"/>
          </w:tcPr>
          <w:p>
            <w:pPr>
              <w:spacing w:after="40" w:before="40"/>
            </w:pPr>
            <w:r/>
            <w:r>
              <w:rPr>
                <w:sz w:val="19"/>
              </w:rPr>
              <w:t>Idle time</w:t>
            </w:r>
          </w:p>
        </w:tc>
        <w:tc>
          <w:tcPr>
            <w:tcW w:type="dxa" w:w="7257"/>
          </w:tcPr>
          <w:p>
            <w:pPr>
              <w:spacing w:after="40" w:before="40"/>
            </w:pPr>
            <w:r/>
            <w:r>
              <w:rPr>
                <w:sz w:val="19"/>
              </w:rPr>
              <w:t>Days since anyone on our side last did something real to the ticket</w:t>
            </w:r>
          </w:p>
        </w:tc>
      </w:tr>
      <w:tr>
        <w:tc>
          <w:tcPr>
            <w:tcW w:type="dxa" w:w="2041"/>
          </w:tcPr>
          <w:p>
            <w:pPr>
              <w:spacing w:after="40" w:before="40"/>
            </w:pPr>
            <w:r/>
            <w:r>
              <w:rPr>
                <w:sz w:val="19"/>
              </w:rPr>
              <w:t>Risk flag</w:t>
            </w:r>
          </w:p>
        </w:tc>
        <w:tc>
          <w:tcPr>
            <w:tcW w:type="dxa" w:w="7257"/>
          </w:tcPr>
          <w:p>
            <w:pPr>
              <w:spacing w:after="40" w:before="40"/>
            </w:pPr>
            <w:r/>
            <w:r>
              <w:rPr>
                <w:sz w:val="19"/>
              </w:rPr>
              <w:t>A short label naming a specific problem, such as "Caller awaiting reply"</w:t>
            </w:r>
          </w:p>
        </w:tc>
      </w:tr>
      <w:tr>
        <w:tc>
          <w:tcPr>
            <w:tcW w:type="dxa" w:w="2041"/>
          </w:tcPr>
          <w:p>
            <w:pPr>
              <w:spacing w:after="40" w:before="40"/>
            </w:pPr>
            <w:r/>
            <w:r>
              <w:rPr>
                <w:sz w:val="19"/>
              </w:rPr>
              <w:t>Shadow mode</w:t>
            </w:r>
          </w:p>
        </w:tc>
        <w:tc>
          <w:tcPr>
            <w:tcW w:type="dxa" w:w="7257"/>
          </w:tcPr>
          <w:p>
            <w:pPr>
              <w:spacing w:after="40" w:before="40"/>
            </w:pPr>
            <w:r/>
            <w:r>
              <w:rPr>
                <w:sz w:val="19"/>
              </w:rPr>
              <w:t>The trial period. Everything runs but no emails are sent</w:t>
            </w:r>
          </w:p>
        </w:tc>
      </w:tr>
      <w:tr>
        <w:tc>
          <w:tcPr>
            <w:tcW w:type="dxa" w:w="2041"/>
          </w:tcPr>
          <w:p>
            <w:pPr>
              <w:spacing w:after="40" w:before="40"/>
            </w:pPr>
            <w:r/>
            <w:r>
              <w:rPr>
                <w:sz w:val="19"/>
              </w:rPr>
              <w:t>Silent breach</w:t>
            </w:r>
          </w:p>
        </w:tc>
        <w:tc>
          <w:tcPr>
            <w:tcW w:type="dxa" w:w="7257"/>
          </w:tcPr>
          <w:p>
            <w:pPr>
              <w:spacing w:after="40" w:before="40"/>
            </w:pPr>
            <w:r/>
            <w:r>
              <w:rPr>
                <w:sz w:val="19"/>
              </w:rPr>
              <w:t>A ticket that breached SLA without ever being flagged as at risk first</w:t>
            </w:r>
          </w:p>
        </w:tc>
      </w:tr>
      <w:tr>
        <w:tc>
          <w:tcPr>
            <w:tcW w:type="dxa" w:w="2041"/>
          </w:tcPr>
          <w:p>
            <w:pPr>
              <w:spacing w:after="40" w:before="40"/>
            </w:pPr>
            <w:r/>
            <w:r>
              <w:rPr>
                <w:sz w:val="19"/>
              </w:rPr>
              <w:t>Snooze</w:t>
            </w:r>
          </w:p>
        </w:tc>
        <w:tc>
          <w:tcPr>
            <w:tcW w:type="dxa" w:w="7257"/>
          </w:tcPr>
          <w:p>
            <w:pPr>
              <w:spacing w:after="40" w:before="40"/>
            </w:pPr>
            <w:r/>
            <w:r>
              <w:rPr>
                <w:sz w:val="19"/>
              </w:rPr>
              <w:t>Hide a ticket you have dealt with, for 24 hours up to a week</w:t>
            </w:r>
          </w:p>
        </w:tc>
      </w:tr>
      <w:tr>
        <w:tc>
          <w:tcPr>
            <w:tcW w:type="dxa" w:w="2041"/>
          </w:tcPr>
          <w:p>
            <w:pPr>
              <w:spacing w:after="40" w:before="40"/>
            </w:pPr>
            <w:r/>
            <w:r>
              <w:rPr>
                <w:sz w:val="19"/>
              </w:rPr>
              <w:t>Verdict</w:t>
            </w:r>
          </w:p>
        </w:tc>
        <w:tc>
          <w:tcPr>
            <w:tcW w:type="dxa" w:w="7257"/>
          </w:tcPr>
          <w:p>
            <w:pPr>
              <w:spacing w:after="40" w:before="40"/>
            </w:pPr>
            <w:r/>
            <w:r>
              <w:rPr>
                <w:sz w:val="19"/>
              </w:rPr>
              <w:t>Your one-click judgement on whether a suggestion was right</w:t>
            </w:r>
          </w:p>
        </w:tc>
      </w:tr>
    </w:tbl>
    <w:p>
      <w:pPr>
        <w:spacing w:after="80"/>
      </w:pPr>
    </w:p>
    <w:p>
      <w:r>
        <w:br w:type="page"/>
      </w:r>
    </w:p>
    <w:p>
      <w:pPr>
        <w:pStyle w:val="Heading1"/>
      </w:pPr>
      <w:r>
        <w:t>10. Getting help</w:t>
      </w:r>
    </w:p>
    <w:p>
      <w:pPr>
        <w:pStyle w:val="Heading2"/>
      </w:pPr>
      <w:r>
        <w:t>10.1 Who to ask</w:t>
      </w:r>
    </w:p>
    <w:tbl>
      <w:tblPr>
        <w:tblStyle w:val="TableGrid"/>
        <w:tblW w:type="auto" w:w="0"/>
        <w:jc w:val="left"/>
        <w:tblLayout w:type="autofit"/>
        <w:tblLook w:firstColumn="1" w:firstRow="1" w:lastColumn="0" w:lastRow="0" w:noHBand="0" w:noVBand="1" w:val="04A0"/>
      </w:tblPr>
      <w:tblGrid>
        <w:gridCol w:w="4929"/>
        <w:gridCol w:w="4929"/>
      </w:tblGrid>
      <w:tr>
        <w:tc>
          <w:tcPr>
            <w:tcW w:type="dxa" w:w="3628"/>
            <w:shd w:val="clear" w:color="auto" w:fill="E8E8E3"/>
          </w:tcPr>
          <w:p>
            <w:pPr>
              <w:spacing w:after="40" w:before="40"/>
            </w:pPr>
            <w:r/>
            <w:r>
              <w:rPr>
                <w:b/>
                <w:sz w:val="19"/>
              </w:rPr>
              <w:t>Issue</w:t>
            </w:r>
          </w:p>
        </w:tc>
        <w:tc>
          <w:tcPr>
            <w:tcW w:type="dxa" w:w="5669"/>
            <w:shd w:val="clear" w:color="auto" w:fill="E8E8E3"/>
          </w:tcPr>
          <w:p>
            <w:pPr>
              <w:spacing w:after="40" w:before="40"/>
            </w:pPr>
            <w:r/>
            <w:r>
              <w:rPr>
                <w:b/>
                <w:sz w:val="19"/>
              </w:rPr>
              <w:t>Who</w:t>
            </w:r>
          </w:p>
        </w:tc>
      </w:tr>
      <w:tr>
        <w:tc>
          <w:tcPr>
            <w:tcW w:type="dxa" w:w="3628"/>
          </w:tcPr>
          <w:p>
            <w:pPr>
              <w:spacing w:after="40" w:before="40"/>
            </w:pPr>
            <w:r/>
            <w:r>
              <w:rPr>
                <w:sz w:val="19"/>
              </w:rPr>
              <w:t>A specific suggestion looks wrong</w:t>
            </w:r>
          </w:p>
        </w:tc>
        <w:tc>
          <w:tcPr>
            <w:tcW w:type="dxa" w:w="5669"/>
          </w:tcPr>
          <w:p>
            <w:pPr>
              <w:spacing w:after="40" w:before="40"/>
            </w:pPr>
            <w:r/>
            <w:r>
              <w:rPr>
                <w:sz w:val="19"/>
              </w:rPr>
              <w:t>Record the verdict. No need to raise anything</w:t>
            </w:r>
          </w:p>
        </w:tc>
      </w:tr>
      <w:tr>
        <w:tc>
          <w:tcPr>
            <w:tcW w:type="dxa" w:w="3628"/>
          </w:tcPr>
          <w:p>
            <w:pPr>
              <w:spacing w:after="40" w:before="40"/>
            </w:pPr>
            <w:r/>
            <w:r>
              <w:rPr>
                <w:sz w:val="19"/>
              </w:rPr>
              <w:t>The same kind of mistake keeps happening</w:t>
            </w:r>
          </w:p>
        </w:tc>
        <w:tc>
          <w:tcPr>
            <w:tcW w:type="dxa" w:w="5669"/>
          </w:tcPr>
          <w:p>
            <w:pPr>
              <w:spacing w:after="40" w:before="40"/>
            </w:pPr>
            <w:r/>
            <w:r>
              <w:rPr>
                <w:sz w:val="19"/>
              </w:rPr>
              <w:t>Your team lead, who raises it with the tool owner</w:t>
            </w:r>
          </w:p>
        </w:tc>
      </w:tr>
      <w:tr>
        <w:tc>
          <w:tcPr>
            <w:tcW w:type="dxa" w:w="3628"/>
          </w:tcPr>
          <w:p>
            <w:pPr>
              <w:spacing w:after="40" w:before="40"/>
            </w:pPr>
            <w:r/>
            <w:r>
              <w:rPr>
                <w:sz w:val="19"/>
              </w:rPr>
              <w:t>Idle times or Blocked by are consistently wrong</w:t>
            </w:r>
          </w:p>
        </w:tc>
        <w:tc>
          <w:tcPr>
            <w:tcW w:type="dxa" w:w="5669"/>
          </w:tcPr>
          <w:p>
            <w:pPr>
              <w:spacing w:after="40" w:before="40"/>
            </w:pPr>
            <w:r/>
            <w:r>
              <w:rPr>
                <w:sz w:val="19"/>
              </w:rPr>
              <w:t>Tool owner — this is a configuration fix, not a one-off</w:t>
            </w:r>
          </w:p>
        </w:tc>
      </w:tr>
      <w:tr>
        <w:tc>
          <w:tcPr>
            <w:tcW w:type="dxa" w:w="3628"/>
          </w:tcPr>
          <w:p>
            <w:pPr>
              <w:spacing w:after="40" w:before="40"/>
            </w:pPr>
            <w:r/>
            <w:r>
              <w:rPr>
                <w:sz w:val="19"/>
              </w:rPr>
              <w:t>Cannot sign in, or the board will not load</w:t>
            </w:r>
          </w:p>
        </w:tc>
        <w:tc>
          <w:tcPr>
            <w:tcW w:type="dxa" w:w="5669"/>
          </w:tcPr>
          <w:p>
            <w:pPr>
              <w:spacing w:after="40" w:before="40"/>
            </w:pPr>
            <w:r/>
            <w:r>
              <w:rPr>
                <w:sz w:val="19"/>
              </w:rPr>
              <w:t>Tool owner or platform support</w:t>
            </w:r>
          </w:p>
        </w:tc>
      </w:tr>
      <w:tr>
        <w:tc>
          <w:tcPr>
            <w:tcW w:type="dxa" w:w="3628"/>
          </w:tcPr>
          <w:p>
            <w:pPr>
              <w:spacing w:after="40" w:before="40"/>
            </w:pPr>
            <w:r/>
            <w:r>
              <w:rPr>
                <w:sz w:val="19"/>
              </w:rPr>
              <w:t>Not receiving the digest</w:t>
            </w:r>
          </w:p>
        </w:tc>
        <w:tc>
          <w:tcPr>
            <w:tcW w:type="dxa" w:w="5669"/>
          </w:tcPr>
          <w:p>
            <w:pPr>
              <w:spacing w:after="40" w:before="40"/>
            </w:pPr>
            <w:r/>
            <w:r>
              <w:rPr>
                <w:sz w:val="19"/>
              </w:rPr>
              <w:t>Tool owner — they can check the delivery log and tell you whether it was sent</w:t>
            </w:r>
          </w:p>
        </w:tc>
      </w:tr>
      <w:tr>
        <w:tc>
          <w:tcPr>
            <w:tcW w:type="dxa" w:w="3628"/>
          </w:tcPr>
          <w:p>
            <w:pPr>
              <w:spacing w:after="40" w:before="40"/>
            </w:pPr>
            <w:r/>
            <w:r>
              <w:rPr>
                <w:sz w:val="19"/>
              </w:rPr>
              <w:t>A ticket is missing from the board entirely</w:t>
            </w:r>
          </w:p>
        </w:tc>
        <w:tc>
          <w:tcPr>
            <w:tcW w:type="dxa" w:w="5669"/>
          </w:tcPr>
          <w:p>
            <w:pPr>
              <w:spacing w:after="40" w:before="40"/>
            </w:pPr>
            <w:r/>
            <w:r>
              <w:rPr>
                <w:sz w:val="19"/>
              </w:rPr>
              <w:t>Tool owner — usually an assignment group that is not in scope</w:t>
            </w:r>
          </w:p>
        </w:tc>
      </w:tr>
    </w:tbl>
    <w:p>
      <w:pPr>
        <w:spacing w:after="80"/>
      </w:pPr>
    </w:p>
    <w:p>
      <w:pPr>
        <w:pStyle w:val="Heading2"/>
      </w:pPr>
      <w:r>
        <w:t>10.2 Useful things to include when reporting a problem</w:t>
      </w:r>
    </w:p>
    <w:p>
      <w:pPr>
        <w:pStyle w:val="ListBullet"/>
        <w:spacing w:after="60"/>
        <w:ind w:left="397"/>
      </w:pPr>
      <w:r>
        <w:rPr>
          <w:sz w:val="21"/>
        </w:rPr>
        <w:t>The ticket number.</w:t>
      </w:r>
    </w:p>
    <w:p>
      <w:pPr>
        <w:pStyle w:val="ListBullet"/>
        <w:spacing w:after="60"/>
        <w:ind w:left="397"/>
      </w:pPr>
      <w:r>
        <w:rPr>
          <w:sz w:val="21"/>
        </w:rPr>
        <w:t>What the tool suggested, and what the right answer was.</w:t>
      </w:r>
    </w:p>
    <w:p>
      <w:pPr>
        <w:pStyle w:val="ListBullet"/>
        <w:spacing w:after="60"/>
        <w:ind w:left="397"/>
      </w:pPr>
      <w:r>
        <w:rPr>
          <w:sz w:val="21"/>
        </w:rPr>
        <w:t>Roughly when you looked at it — suggestions change as tickets change.</w:t>
      </w:r>
    </w:p>
    <w:p>
      <w:pPr>
        <w:pStyle w:val="ListBullet"/>
        <w:spacing w:after="60"/>
        <w:ind w:left="397"/>
      </w:pPr>
      <w:r>
        <w:rPr>
          <w:sz w:val="21"/>
        </w:rPr>
        <w:t>A screenshot of the ticket page, if you can.</w:t>
      </w:r>
    </w:p>
    <w:p>
      <w:pPr>
        <w:pStyle w:val="Heading2"/>
      </w:pPr>
      <w:r>
        <w:t>10.3 One thing to remember</w:t>
      </w: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006300"/>
          <w:sz w:val="20"/>
        </w:rPr>
        <w:t xml:space="preserve">Your judgement outranks the tool, every time.  </w:t>
      </w:r>
      <w:r>
        <w:rPr>
          <w:color w:val="52514E"/>
          <w:sz w:val="20"/>
        </w:rPr>
        <w:t>It is there to do the reading so that you have more time to decide, and to make sure nothing quietly rots at the bottom of a queue. It is not there to tell you your job. When it is right, it saves you twenty minutes. When it is wrong, press the button that says so — and it gets better.</w:t>
      </w:r>
    </w:p>
    <w:sectPr w:rsidR="00FC693F" w:rsidRPr="0006063C" w:rsidSect="00034616">
      <w:footerReference w:type="default" r:id="rId9"/>
      <w:head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98781"/>
        <w:sz w:val="16"/>
      </w:rPr>
      <w:t xml:space="preserve">Aged Ticket Advisor - User Manual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98781"/>
        <w:sz w:val="16"/>
      </w:rPr>
      <w:t>IT Support - Agents and Team Leads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C5CAB"/>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0B0B"/>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B0B0B"/>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2514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0B0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