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and </w:t>
      </w:r>
      <w:r>
        <w:rPr>
          <w:rFonts w:ascii="Consolas" w:hAnsi="Consolas"/>
          <w:b w:val="0"/>
          <w:i w:val="0"/>
          <w:sz w:val="19"/>
          <w:shd w:val="clear" w:color="auto" w:fill="F4F4F1"/>
        </w:rPr>
        <w:t>vault_url</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 and exits with status 2 so it can gate a deployment pipeline.</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VAULT_ADDR='https://127.0.0.1:8200'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"https://127.0.0.1:8200",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(https://127.0.0.1:8200,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"https://127.0.0.1:8200",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with status 2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(127.0.0.1 or kohlerco.com)</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the group name spelled exactly as ServiceNow has it?</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DISTINCT assignment_group FROM watched_ticket;"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assignment_groups in conf.json does not match the display value in ServiceNow — a trailing space, different capitalisation, or an abbreviation. The comparison is exact.</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