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g"/><Relationship Id="rId6" Type="http://schemas.openxmlformats.org/officeDocument/2006/relationships/image" Target="media/image5.jpg"/><Relationship Id="rId7" Type="http://schemas.openxmlformats.org/officeDocument/2006/relationships/image" Target="media/image6.jpg"/><Relationship Id="rId8" Type="http://schemas.openxmlformats.org/officeDocument/2006/relationships/image" Target="media/image7.jpg"/></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Foreign Object Debris Detection Assessment</w:t>
      </w:r>
    </w:p>
    <w:p>
      <w:pPr>
        <w:pStyle w:val="Normal"/>
      </w:pPr>
      <w:r>
        <w:t xml:space="preserve">YOLO baseline evaluation and deployment proposal</w:t>
      </w:r>
    </w:p>
    <w:p>
      <w:pPr>
        <w:pStyle w:val="Normal"/>
      </w:pPr>
      <w:r>
        <w:t xml:space="preserve">5-epoch checkpoint | Held-out test evaluation | Confidence threshold 0.25</w:t>
      </w:r>
    </w:p>
    <w:p>
      <w:pPr>
        <w:pStyle w:val="Heading1"/>
      </w:pPr>
      <w:r>
        <w:t xml:space="preserve">Executive summary</w:t>
      </w:r>
    </w:p>
    <w:p>
      <w:pPr>
        <w:pStyle w:val="Normal"/>
      </w:pPr>
      <w:r>
        <w:t xml:space="preserve">This report documents a FOD object detector trained on the cleaned FOD dataset and evaluated on a held-out test set. The preserved 5-epoch checkpoint achieved 93.6% precision, 95.1% recall, 97.6% mAP@50, and 72.1% mAP@50-95 on 5,069 test images. The results are promising as a baseline, but small-object localization remains the main limitation and the model should not be treated as safety-certified.</w:t>
      </w:r>
    </w:p>
    <w:p>
      <w:pPr>
        <w:pStyle w:val="Normal"/>
      </w:pPr>
      <w:r>
        <w:t xml:space="preserve">Because of the available time, the experiment used early stopping and the 5-epoch checkpoint was the reliable completed result. With more time, the next experiment should use approximately five times more diverse data, including more small debris, altitudes, lighting, weather, and hard negatives. This is expected to improve robustness, especially for small and low-contrast objects, but it must be verified by a new held-out test set.</w:t>
      </w:r>
    </w:p>
    <w:p>
      <w:pPr>
        <w:pStyle w:val="Heading1"/>
      </w:pPr>
      <w:r>
        <w:t xml:space="preserve">1 Dataset and exploratory analysis</w:t>
      </w:r>
    </w:p>
    <w:p>
      <w:pPr>
        <w:pStyle w:val="Normal"/>
      </w:pPr>
      <w:r>
        <w:t xml:space="preserve">The project uses a cleaned YOLO-format FOD dataset derived from the public FOD image collection. It contains 31 object classes representing common runway debris such as bolts, nuts, wires, tools, luggage parts, plastic parts, paint chips, rocks, and metal components. The cleaned split contains 23,655 training images, 5,069 validation images, and a separate test split used for final evaluation. Images were standardized to 640 x 640 during training and inference.</w:t>
      </w:r>
    </w:p>
    <w:p>
      <w:pPr>
        <w:pStyle w:val="Normal"/>
      </w:pPr>
      <w:r>
        <w:t xml:space="preserve">The classes are imbalanced. Common categories such as Bolt, Pliers, Wrench, Wire, and PlasticPart have more examples than rare categories such as Tape, Screw, Wood, and Hose. Challenging cases include small objects, pavement-like texture, occlusion, and changing illumination.</w:t>
      </w:r>
    </w:p>
    <w:p>
      <w:pPr>
        <w:pStyle w:val="Normal"/>
      </w:pPr>
      <w:r>
        <w:t xml:space="preserve">Split summary: Train 23,655 images for fitting; Validation 5,069 images for training-time selection; Test 5,069 images for held-out final evaluation.</w:t>
      </w:r>
    </w:p>
    <w:p>
      <w:pPr>
        <w:pStyle w:val="Heading1"/>
      </w:pPr>
      <w:r>
        <w:t xml:space="preserve">2 Training configuration</w:t>
      </w:r>
    </w:p>
    <w:p>
      <w:pPr>
        <w:pStyle w:val="Normal"/>
      </w:pPr>
      <w:r>
        <w:t xml:space="preserve">Detector: YOLOv8s. Image size: 640 x 640. Batch size: 16. Completed epochs: 5. Early stopping patience: 5. Optimizer: AdamW. Augmentations: rotation, translation, scale, horizontal flip, and HSV changes. Inference threshold: 0.25.</w:t>
      </w:r>
    </w:p>
    <w:p>
      <w:pPr>
        <w:pStyle w:val="Normal"/>
      </w:pPr>
      <w:r>
        <w:t xml:space="preserve">The model was evaluated using the best weights from the completed 5-epoch run. A 15-epoch run was attempted separately but was not treated as valid because slow image loading made it impractical to complete reliably within the available time.</w:t>
      </w:r>
    </w:p>
    <w:p>
      <w:pPr>
        <w:pStyle w:val="Heading1"/>
      </w:pPr>
      <w:r>
        <w:t xml:space="preserve">3 Held-out test results</w:t>
      </w:r>
    </w:p>
    <w:p>
      <w:pPr>
        <w:pStyle w:val="Normal"/>
      </w:pPr>
      <w:r>
        <w:t xml:space="preserve">Test images: 5,069. Precision: 0.936. Recall: 0.951. mAP@50: 0.976. mAP@50-95: 0.721. AP@75: 0.885. AP small: 0.604. AP medium: 0.747. AP large: 0.762.</w:t>
      </w:r>
    </w:p>
    <w:p>
      <w:pPr>
        <w:pStyle w:val="Normal"/>
      </w:pPr>
      <w:r>
        <w:t xml:space="preserve">The high mAP@50 shows that the detector generally identifies the correct object at the standard 0.50 IoU threshold. The lower mAP@50-95 and small-object AP show that localization is less consistent at stricter overlap requirements and for small debris.</w:t>
      </w:r>
    </w:p>
    <w:p>
      <w:jc w:val="center"/>
      <w:r>
        <w:drawing>
          <wp:inline>
            <wp:extent cx="5486400" cy="3657600"/>
            <a:graphic>
              <a:graphicData uri="http://schemas.openxmlformats.org/drawingml/2006/picture">
                <pic:pic>
                  <pic:blipFill>
                    <a:blip r:embed="rId2"/>
                  </pic:blipFill>
                </pic:pic>
              </a:graphicData>
            </a:graphic>
          </wp:inline>
        </w:drawing>
      </w:r>
    </w:p>
    <w:p>
      <w:pPr>
        <w:pStyle w:val="Caption"/>
      </w:pPr>
      <w:r>
        <w:t xml:space="preserve">Figure 1. Normalized confusion matrix from the held-out test split.</w:t>
      </w:r>
    </w:p>
    <w:p>
      <w:jc w:val="center"/>
      <w:r>
        <w:drawing>
          <wp:inline>
            <wp:extent cx="5486400" cy="3657600"/>
            <a:graphic>
              <a:graphicData uri="http://schemas.openxmlformats.org/drawingml/2006/picture">
                <pic:pic>
                  <pic:blipFill>
                    <a:blip r:embed="rId3"/>
                  </pic:blipFill>
                </pic:pic>
              </a:graphicData>
            </a:graphic>
          </wp:inline>
        </w:drawing>
      </w:r>
    </w:p>
    <w:p>
      <w:pPr>
        <w:pStyle w:val="Caption"/>
      </w:pPr>
      <w:r>
        <w:t xml:space="preserve">Figure 2. Precision-recall curve.</w:t>
      </w:r>
    </w:p>
    <w:p>
      <w:jc w:val="center"/>
      <w:r>
        <w:drawing>
          <wp:inline>
            <wp:extent cx="5486400" cy="3657600"/>
            <a:graphic>
              <a:graphicData uri="http://schemas.openxmlformats.org/drawingml/2006/picture">
                <pic:pic>
                  <pic:blipFill>
                    <a:blip r:embed="rId4"/>
                  </pic:blipFill>
                </pic:pic>
              </a:graphicData>
            </a:graphic>
          </wp:inline>
        </w:drawing>
      </w:r>
    </w:p>
    <w:p>
      <w:pPr>
        <w:pStyle w:val="Caption"/>
      </w:pPr>
      <w:r>
        <w:t xml:space="preserve">Figure 3. F1 curve across confidence thresholds.</w:t>
      </w:r>
    </w:p>
    <w:p>
      <w:pPr>
        <w:pStyle w:val="Heading1"/>
      </w:pPr>
      <w:r>
        <w:t xml:space="preserve">4 Inference examples and interpretation</w:t>
      </w:r>
    </w:p>
    <w:p>
      <w:pPr>
        <w:pStyle w:val="Normal"/>
      </w:pPr>
      <w:r>
        <w:t xml:space="preserve">Inference was run on all 5,069 test images with confidence threshold 0.25. Annotated images and YOLO label files were saved for review. The label files contain class IDs, normalized box coordinates, and confidence scores.</w:t>
      </w:r>
    </w:p>
    <w:p>
      <w:jc w:val="center"/>
      <w:r>
        <w:drawing>
          <wp:inline>
            <wp:extent cx="5486400" cy="3657600"/>
            <a:graphic>
              <a:graphicData uri="http://schemas.openxmlformats.org/drawingml/2006/picture">
                <pic:pic>
                  <pic:blipFill>
                    <a:blip r:embed="rId5"/>
                  </pic:blipFill>
                </pic:pic>
              </a:graphicData>
            </a:graphic>
          </wp:inline>
        </w:drawing>
      </w:r>
    </w:p>
    <w:p>
      <w:pPr>
        <w:pStyle w:val="Caption"/>
      </w:pPr>
      <w:r>
        <w:t xml:space="preserve">Figure 4. Example test inference.</w:t>
      </w:r>
    </w:p>
    <w:p>
      <w:jc w:val="center"/>
      <w:r>
        <w:drawing>
          <wp:inline>
            <wp:extent cx="5486400" cy="3657600"/>
            <a:graphic>
              <a:graphicData uri="http://schemas.openxmlformats.org/drawingml/2006/picture">
                <pic:pic>
                  <pic:blipFill>
                    <a:blip r:embed="rId6"/>
                  </pic:blipFill>
                </pic:pic>
              </a:graphicData>
            </a:graphic>
          </wp:inline>
        </w:drawing>
      </w:r>
    </w:p>
    <w:p>
      <w:pPr>
        <w:pStyle w:val="Caption"/>
      </w:pPr>
      <w:r>
        <w:t xml:space="preserve">Figure 5. Example held-out inference.</w:t>
      </w:r>
    </w:p>
    <w:p>
      <w:jc w:val="center"/>
      <w:r>
        <w:drawing>
          <wp:inline>
            <wp:extent cx="5486400" cy="3657600"/>
            <a:graphic>
              <a:graphicData uri="http://schemas.openxmlformats.org/drawingml/2006/picture">
                <pic:pic>
                  <pic:blipFill>
                    <a:blip r:embed="rId7"/>
                  </pic:blipFill>
                </pic:pic>
              </a:graphicData>
            </a:graphic>
          </wp:inline>
        </w:drawing>
      </w:r>
    </w:p>
    <w:p>
      <w:pPr>
        <w:pStyle w:val="Caption"/>
      </w:pPr>
      <w:r>
        <w:t xml:space="preserve">Figure 6. Additional annotated inference example.</w:t>
      </w:r>
    </w:p>
    <w:p>
      <w:jc w:val="center"/>
      <w:r>
        <w:drawing>
          <wp:inline>
            <wp:extent cx="5486400" cy="3657600"/>
            <a:graphic>
              <a:graphicData uri="http://schemas.openxmlformats.org/drawingml/2006/picture">
                <pic:pic>
                  <pic:blipFill>
                    <a:blip r:embed="rId8"/>
                  </pic:blipFill>
                </pic:pic>
              </a:graphicData>
            </a:graphic>
          </wp:inline>
        </w:drawing>
      </w:r>
    </w:p>
    <w:p>
      <w:pPr>
        <w:pStyle w:val="Caption"/>
      </w:pPr>
      <w:r>
        <w:t xml:space="preserve">Figure 7. Validation batch predictions compared with labelled objects.</w:t>
      </w:r>
    </w:p>
    <w:p>
      <w:pPr>
        <w:pStyle w:val="Heading1"/>
      </w:pPr>
      <w:r>
        <w:t xml:space="preserve">5 Error analysis</w:t>
      </w:r>
    </w:p>
    <w:p>
      <w:pPr>
        <w:pStyle w:val="Normal"/>
      </w:pPr>
      <w:r>
        <w:t xml:space="preserve">False positives can occur when shadows, runway markings, reflections, cracks, stains, or textured pavement resemble a debris class. Similar-looking tools and metal parts can also be confused when objects are small or partially visible.</w:t>
      </w:r>
    </w:p>
    <w:p>
      <w:pPr>
        <w:pStyle w:val="Normal"/>
      </w:pPr>
      <w:r>
        <w:t xml:space="preserve">False negatives are most likely for small objects, low-contrast objects, heavy occlusion, unusual viewing angles, and rare classes with limited examples. The small-object AP of 0.604 is evidence that this regime needs additional work.</w:t>
      </w:r>
    </w:p>
    <w:p>
      <w:pPr>
        <w:pStyle w:val="Normal"/>
      </w:pPr>
      <w:r>
        <w:t xml:space="preserve">For runway safety, a missed object is generally more serious than a false alarm. The initial threshold of 0.25 therefore favours recall. In deployment, the threshold should be selected from the validation precision-recall curve against an explicit false-alarm budget, followed by human review, temporal tracking, or a second-stage verification model.</w:t>
      </w:r>
    </w:p>
    <w:p>
      <w:pPr>
        <w:pStyle w:val="Normal"/>
      </w:pPr>
      <w:r>
        <w:t xml:space="preserve">Concrete improvements are: collect at least five times more varied data; use tiled or higher-resolution inference for small debris; and mine hard negatives from runway shadows, markings, reflections, and texture while balancing rare classes.</w:t>
      </w:r>
    </w:p>
    <w:p>
      <w:pPr>
        <w:pStyle w:val="Heading1"/>
      </w:pPr>
      <w:r>
        <w:t xml:space="preserve">6 UAV deployment approach</w:t>
      </w:r>
    </w:p>
    <w:p>
      <w:pPr>
        <w:pStyle w:val="Normal"/>
      </w:pPr>
      <w:r>
        <w:t xml:space="preserve">A future UAV system would use a stabilized RGB camera and a geofenced runway inspection route. Frames would be sampled on an edge computer, resized or tiled, and passed through YOLO. Detections would be filtered by confidence and persistence across consecutive frames, then associated with GPS and IMU coordinates. Alerts would contain object class, confidence, location, image crop, and timestamp for operator confirmation.</w:t>
      </w:r>
    </w:p>
    <w:p>
      <w:pPr>
        <w:pStyle w:val="Normal"/>
      </w:pPr>
      <w:r>
        <w:t xml:space="preserve">The system should fail safely: uncertain detections should be flagged for review; low visibility, GPS loss, and camera blockage should be reported; and model drift should be monitored across airports and lighting conditions. The detector is an inspection aid, not a replacement for certified airport safety procedures.</w:t>
      </w:r>
    </w:p>
    <w:p>
      <w:pPr>
        <w:pStyle w:val="Heading1"/>
      </w:pPr>
      <w:r>
        <w:t xml:space="preserve">7 Reproducibility and files</w:t>
      </w:r>
    </w:p>
    <w:p>
      <w:pPr>
        <w:pStyle w:val="Normal"/>
      </w:pPr>
      <w:r>
        <w:t xml:space="preserve">Model checkpoint: fod_detection_assessment/runs/fod_yolov8s_gpu_5ep/weights/best.pt</w:t>
      </w:r>
    </w:p>
    <w:p>
      <w:pPr>
        <w:pStyle w:val="Normal"/>
      </w:pPr>
      <w:r>
        <w:t xml:space="preserve">Metrics and plots: fod_detection_assessment/runs/test_metrics_5ep_final/</w:t>
      </w:r>
    </w:p>
    <w:p>
      <w:pPr>
        <w:pStyle w:val="Normal"/>
      </w:pPr>
      <w:r>
        <w:t xml:space="preserve">Annotated predictions: fod_detection_assessment/submission/test_predictions_5ep_final/</w:t>
      </w:r>
    </w:p>
    <w:p>
      <w:pPr>
        <w:pStyle w:val="Normal"/>
      </w:pPr>
      <w:r>
        <w:t xml:space="preserve">Prediction JSON: fod_detection_assessment/runs/test_metrics_5ep_final/predictions.json</w:t>
      </w:r>
    </w:p>
    <w:p>
      <w:pPr>
        <w:pStyle w:val="Normal"/>
      </w:pPr>
      <w:r>
        <w:t xml:space="preserve">Google Drive upload was not performed because no connected Drive account or upload integration was available in this workspace. The local model file can be downloaded from the workspace link provided with this report.</w:t>
      </w:r>
    </w:p>
    <w:p>
      <w:pPr>
        <w:pStyle w:val="Heading1"/>
      </w:pPr>
      <w:r>
        <w:t xml:space="preserve">Conclusion</w:t>
      </w:r>
    </w:p>
    <w:p>
      <w:pPr>
        <w:pStyle w:val="Normal"/>
      </w:pPr>
      <w:r>
        <w:t xml:space="preserve">The completed 5-epoch baseline performs well on the held-out test set, with high recall and mAP@50. The report intentionally highlights the gap between standard mAP@50 and stricter small-object localization. More diverse data and a faster training pipeline are the most valuable next steps before considering operational deployment.</w:t>
      </w:r>
    </w:p>
    <w:sectPr>
      <w:pgSz w:w="12240" w:h="15840"/>
      <w:pgMar w:top="900" w:right="900" w:bottom="900" w:left="900"/>
    </w:sectPr>
  </w:body>
</w:document>
</file>

<file path=word/_rels/document.xml.rels><?xml version="1.0" encoding="UTF-8" standalone="yes"?><Relationships xmlns="http://schemas.openxmlformats.org/package/2006/relationships"><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g"/><Relationship Id="rId6" Type="http://schemas.openxmlformats.org/officeDocument/2006/relationships/image" Target="../media/image5.jpg"/><Relationship Id="rId7" Type="http://schemas.openxmlformats.org/officeDocument/2006/relationships/image" Target="../media/image6.jpg"/><Relationship Id="rId8" Type="http://schemas.openxmlformats.org/officeDocument/2006/relationships/image" Target="../media/image7.jpg"/></Relationships>
</file>