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t xml:space="preserve">22. Decisions to Lock</w:t>
      </w:r>
    </w:p>
    <w:p>
      <w:pPr>
        <w:pStyle w:val="ListBullet"/>
        <w:ind w:left="288"/>
      </w:pPr>
      <w:r>
        <w:t xml:space="preserve">23. Source Register</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Two-column layouts from tablet width upwards.</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bl>
    <w:p>
      <w:r>
        <w:t xml:space="preserve">Every meaningful state has its own URL so a topic, a quiz deck or a batch code can be shared as a link.</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0.1 plan; companion to Product Blueprint v0.2.</dc:description>
  <cp:lastModifiedBy/>
  <cp:revision>1</cp:revision>
  <dcterms:created xsi:type="dcterms:W3CDTF">2013-12-23T23:15:00Z</dcterms:created>
  <dcterms:modified xsi:type="dcterms:W3CDTF">2013-12-23T23:15:00Z</dcterms:modified>
  <cp:category/>
</cp:coreProperties>
</file>