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rFonts w:ascii="Aptos Display" w:hAnsi="Aptos Display"/>
          <w:b/>
          <w:color w:val="0E7C86"/>
          <w:sz w:val="68"/>
        </w:rPr>
        <w:t>MEDLEARN OS</w:t>
      </w:r>
    </w:p>
    <w:p>
      <w:pPr>
        <w:spacing w:after="160"/>
      </w:pPr>
      <w:r>
        <w:rPr>
          <w:b/>
          <w:color w:val="17324D"/>
          <w:sz w:val="40"/>
        </w:rPr>
        <w:t>The daily operating system for MBBS learning</w:t>
      </w:r>
    </w:p>
    <w:p>
      <w:r>
        <w:rPr>
          <w:color w:val="6B7785"/>
          <w:sz w:val="28"/>
        </w:rPr>
        <w:t>Content Plan: Physiology and Biochemistry</w:t>
      </w:r>
    </w:p>
    <w:p>
      <w:pPr/>
    </w:p>
    <w:p>
      <w:pPr/>
      <w:r>
        <w:rPr>
          <w:b/>
          <w:color w:val="17324D"/>
        </w:rPr>
        <w:t>Companion to</w:t>
      </w:r>
      <w:r>
        <w:t xml:space="preserve"> MedLearn OS Product Blueprint v0.7 and the scan of 16 October 2026 (gap G3: Physiology has 1 topic, Biochemistry none).</w:t>
      </w:r>
    </w:p>
    <w:p>
      <w:pPr/>
      <w:r>
        <w:rPr>
          <w:b/>
          <w:color w:val="17324D"/>
        </w:rPr>
        <w:t>Decision</w:t>
      </w:r>
      <w:r>
        <w:t xml:space="preserve"> On 16 October 2026 the user asked Claude to decide how Physiology and Biochemistry run. This is that decision.</w:t>
      </w:r>
    </w:p>
    <w:p>
      <w:pPr/>
      <w:r>
        <w:rPr>
          <w:b/>
          <w:color w:val="17324D"/>
        </w:rPr>
        <w:t>Document date</w:t>
      </w:r>
      <w:r>
        <w:t xml:space="preserve"> 16 October 2026</w:t>
      </w:r>
    </w:p>
    <w:p>
      <w:pPr/>
      <w:r>
        <w:rPr>
          <w:b/>
          <w:color w:val="17324D"/>
        </w:rPr>
        <w:t>Status</w:t>
      </w:r>
      <w:r>
        <w:t xml:space="preserve"> v0.1. Starts as soon as the books are in books/physiology and books/biochemistry (both empty today).</w:t>
      </w:r>
    </w:p>
    <w:p>
      <w:pPr>
        <w:pStyle w:val="Heading1"/>
      </w:pPr>
      <w:r>
        <w:t>1. How the three subjects run</w:t>
      </w:r>
    </w:p>
    <w:p>
      <w:pPr>
        <w:pStyle w:val="ListBullet"/>
      </w:pPr>
      <w:r>
        <w:t>In rotation, one batch at a time: Anatomy, then Physiology, then Biochemistry, then Anatomy again. First-year exams test all three, and colleges teach them side by side, so a student should find each subject growing every week rather than one finished before the next starts.</w:t>
      </w:r>
    </w:p>
    <w:p>
      <w:pPr>
        <w:pStyle w:val="ListBullet"/>
      </w:pPr>
      <w:r>
        <w:t>A batch is about seven topics, as in Anatomy: each with key facts, a lesson, a diagram with clinical cases and an exam drill, questions, recall cards, lectures and book page references.</w:t>
      </w:r>
    </w:p>
    <w:p>
      <w:pPr>
        <w:pStyle w:val="ListBullet"/>
      </w:pPr>
      <w:r>
        <w:t>Where it helps, a Physiology or Biochemistry batch follows the anatomy just finished: the gut and digestion after the abdomen, the kidney and acid-base after the kidney, the heart after the thorax.</w:t>
      </w:r>
    </w:p>
    <w:p>
      <w:pPr>
        <w:pStyle w:val="ListBullet"/>
      </w:pPr>
      <w:r>
        <w:t>Every topic goes through the new reviewer app before its "not reviewed" label comes off.</w:t>
      </w:r>
    </w:p>
    <w:p>
      <w:pPr>
        <w:pStyle w:val="Heading1"/>
      </w:pPr>
      <w:r>
        <w:t>2. Order</w:t>
      </w:r>
    </w:p>
    <w:p>
      <w:pPr/>
      <w:r>
        <w:t>In the order most colleges teach the first year (NMC competency-based curriculum):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E7C86"/>
          </w:tcPr>
          <w:p>
            <w:r/>
            <w:r>
              <w:rPr>
                <w:b/>
                <w:color w:val="FFFFFF"/>
              </w:rPr>
              <w:t>Batch</w:t>
            </w:r>
          </w:p>
        </w:tc>
        <w:tc>
          <w:tcPr>
            <w:tcW w:type="dxa" w:w="3360"/>
            <w:shd w:val="clear" w:color="auto" w:fill="0E7C86"/>
          </w:tcPr>
          <w:p>
            <w:r/>
            <w:r>
              <w:rPr>
                <w:b/>
                <w:color w:val="FFFFFF"/>
              </w:rPr>
              <w:t>Physiology</w:t>
            </w:r>
          </w:p>
        </w:tc>
        <w:tc>
          <w:tcPr>
            <w:tcW w:type="dxa" w:w="3360"/>
            <w:shd w:val="clear" w:color="auto" w:fill="0E7C86"/>
          </w:tcPr>
          <w:p>
            <w:r/>
            <w:r>
              <w:rPr>
                <w:b/>
                <w:color w:val="FFFFFF"/>
              </w:rPr>
              <w:t>Biochemistry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General physiology: cell, transport across membranes, body fluids, homeostasis</w:t>
            </w:r>
          </w:p>
        </w:tc>
        <w:tc>
          <w:tcPr>
            <w:tcW w:type="dxa" w:w="3360"/>
          </w:tcPr>
          <w:p>
            <w:r>
              <w:t>Cell and biomolecules: carbohydrate, lipid and protein chemistry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Blood: plasma proteins, red cells and haemoglobin, white cells and immunity, platelets and clotting, blood groups</w:t>
            </w:r>
          </w:p>
        </w:tc>
        <w:tc>
          <w:tcPr>
            <w:tcW w:type="dxa" w:w="3360"/>
          </w:tcPr>
          <w:p>
            <w:r>
              <w:t>Enzymes: kinetics, inhibition, clinical enzymes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Nerve and muscle: action potential, synapse, neuromuscular junction, skeletal and smooth muscle</w:t>
            </w:r>
          </w:p>
        </w:tc>
        <w:tc>
          <w:tcPr>
            <w:tcW w:type="dxa" w:w="3360"/>
          </w:tcPr>
          <w:p>
            <w:r>
              <w:t>Carbohydrate metabolism: glycolysis, TCA cycle, gluconeogenesis, glycogen, HMP shunt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Gut: secretions, digestion, absorption, movements (after the abdomen)</w:t>
            </w:r>
          </w:p>
        </w:tc>
        <w:tc>
          <w:tcPr>
            <w:tcW w:type="dxa" w:w="3360"/>
          </w:tcPr>
          <w:p>
            <w:r>
              <w:t>Digestion and absorption; lipid metabolism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Respiration: mechanics, gas exchange, oxygen and carbon dioxide transport (the oxygen curve joins here), regulation</w:t>
            </w:r>
          </w:p>
        </w:tc>
        <w:tc>
          <w:tcPr>
            <w:tcW w:type="dxa" w:w="3360"/>
          </w:tcPr>
          <w:p>
            <w:r>
              <w:t>Protein and amino acid metabolism, urea cycle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Heart and circulation: cardiac cycle, ECG, output, blood pressure</w:t>
            </w:r>
          </w:p>
        </w:tc>
        <w:tc>
          <w:tcPr>
            <w:tcW w:type="dxa" w:w="3360"/>
          </w:tcPr>
          <w:p>
            <w:r>
              <w:t>Nucleotides and molecular biology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Kidney: filtration, tubular function, acid-base</w:t>
            </w:r>
          </w:p>
        </w:tc>
        <w:tc>
          <w:tcPr>
            <w:tcW w:type="dxa" w:w="3360"/>
          </w:tcPr>
          <w:p>
            <w:r>
              <w:t>Vitamins and minerals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Endocrine glands</w:t>
            </w:r>
          </w:p>
        </w:tc>
        <w:tc>
          <w:tcPr>
            <w:tcW w:type="dxa" w:w="3360"/>
          </w:tcPr>
          <w:p>
            <w:r>
              <w:t>Clinical biochemistry: liver and kidney function tests, acid-base, hormones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Reproduction</w:t>
            </w:r>
          </w:p>
        </w:tc>
        <w:tc>
          <w:tcPr>
            <w:tcW w:type="dxa" w:w="3360"/>
          </w:tcPr>
          <w:p>
            <w:r>
              <w:t>Integration and revision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Nervous system and special senses</w:t>
            </w:r>
          </w:p>
        </w:tc>
        <w:tc>
          <w:tcPr>
            <w:tcW w:type="dxa" w:w="3360"/>
          </w:tcPr>
          <w:p>
            <w:r>
              <w:t>(as needed)</w:t>
            </w:r>
          </w:p>
        </w:tc>
      </w:tr>
    </w:tbl>
    <w:p>
      <w:pPr/>
    </w:p>
    <w:p>
      <w:pPr>
        <w:pStyle w:val="Heading1"/>
      </w:pPr>
      <w:r>
        <w:t>3. What the pages look like</w:t>
      </w:r>
    </w:p>
    <w:p>
      <w:pPr>
        <w:pStyle w:val="ListBullet"/>
      </w:pPr>
      <w:r>
        <w:t>Pathways and loops as diagrams with an exam drill: the clotting cascade, the renin-angiotensin system, glycolysis, the urea cycle, feedback loops.</w:t>
      </w:r>
    </w:p>
    <w:p>
      <w:pPr>
        <w:pStyle w:val="ListBullet"/>
      </w:pPr>
      <w:r>
        <w:t>Curves you can move, like the existing oxygen-haemoglobin curve: the action potential, the cardiac cycle and Frank-Starling curve, enzyme kinetics.</w:t>
      </w:r>
    </w:p>
    <w:p>
      <w:pPr>
        <w:pStyle w:val="ListBullet"/>
      </w:pPr>
      <w:r>
        <w:t>No 3D model is required (the rule that every topic has one applies to Anatomy); where a structure matters, the topic links to the anatomy topic and its model.</w:t>
      </w:r>
    </w:p>
    <w:p>
      <w:pPr>
        <w:pStyle w:val="Heading1"/>
      </w:pPr>
      <w:r>
        <w:t>4. What is needed from the group</w:t>
      </w:r>
    </w:p>
    <w:p>
      <w:pPr>
        <w:pStyle w:val="ListBullet"/>
      </w:pPr>
      <w:r>
        <w:t>The Physiology and Biochemistry books the group follows, as PDFs in books/physiology and books/biochemistry, with title, author and edition. Commonly: Guyton and Hall, A K Jain or G K Pal for Physiology; Vasudevan or Satyanarayana for Biochemistry.</w:t>
      </w:r>
    </w:p>
    <w:p>
      <w:pPr>
        <w:pStyle w:val="ListBullet"/>
      </w:pPr>
      <w:r>
        <w:t>Your college's teaching order, if it differs from section 2.</w:t>
      </w:r>
    </w:p>
    <w:p>
      <w:pPr>
        <w:pStyle w:val="ListBullet"/>
      </w:pPr>
      <w:r>
        <w:t>Two reviewers for each subject, added to the reviewer list.</w:t>
      </w:r>
    </w:p>
    <w:p>
      <w:pPr>
        <w:pStyle w:val="Heading1"/>
      </w:pPr>
      <w:r>
        <w:t>5. Next steps</w:t>
      </w:r>
    </w:p>
    <w:p>
      <w:pPr>
        <w:pStyle w:val="ListBullet"/>
      </w:pPr>
      <w:r>
        <w:t>Now: abdomen batch 5 (BD Vol 2 chapter 25 onwards) while the books arrive.</w:t>
      </w:r>
    </w:p>
    <w:p>
      <w:pPr>
        <w:pStyle w:val="ListBullet"/>
      </w:pPr>
      <w:r>
        <w:t>Then Physiology batch 1, Biochemistry batch 1, and on in rotation.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785"/>
        <w:sz w:val="15"/>
      </w:rPr>
      <w:t>Working product document - factual claims are sourced; clinical content requires expert review before publication.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785"/>
        <w:sz w:val="16"/>
      </w:rPr>
      <w:t>MEDLEARN OS  |  STUDENT PROFILE PAGE PLAN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E7C8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Small">
    <w:name w:val="Subtitle Small"/>
    <w:basedOn w:val="Normal"/>
    <w:rPr>
      <w:rFonts w:ascii="Aptos" w:hAnsi="Aptos"/>
      <w:color w:val="17324D"/>
      <w:sz w:val="22"/>
    </w:rPr>
  </w:style>
  <w:style w:type="paragraph" w:customStyle="1" w:styleId="Callout">
    <w:name w:val="Callout"/>
    <w:basedOn w:val="Normal"/>
    <w:rPr>
      <w:rFonts w:ascii="Aptos" w:hAnsi="Aptos"/>
      <w:color w:val="1E2732"/>
      <w:sz w:val="22"/>
    </w:rPr>
  </w:style>
  <w:style w:type="paragraph" w:customStyle="1" w:styleId="Small">
    <w:name w:val="Small"/>
    <w:basedOn w:val="Normal"/>
    <w:rPr>
      <w:rFonts w:ascii="Aptos" w:hAnsi="Aptos"/>
      <w:color w:val="6B7785"/>
      <w:sz w:val="17"/>
    </w:rPr>
  </w:style>
  <w:style w:type="paragraph" w:customStyle="1" w:styleId="TableText">
    <w:name w:val="TableText"/>
    <w:basedOn w:val="Normal"/>
    <w:rPr>
      <w:rFonts w:ascii="Aptos" w:hAnsi="Aptos"/>
      <w:color w:val="1E2732"/>
      <w:sz w:val="17"/>
    </w:rPr>
  </w:style>
  <w:style w:type="paragraph" w:customStyle="1" w:styleId="Source">
    <w:name w:val="Source"/>
    <w:basedOn w:val="Normal"/>
    <w:rPr>
      <w:rFonts w:ascii="Aptos" w:hAnsi="Aptos"/>
      <w:color w:val="6B7785"/>
      <w:sz w:val="17"/>
    </w:rPr>
  </w:style>
  <w:style w:type="paragraph" w:customStyle="1" w:styleId="Tag">
    <w:name w:val="Tag"/>
    <w:basedOn w:val="Normal"/>
    <w:rPr>
      <w:rFonts w:ascii="Aptos" w:hAnsi="Aptos"/>
      <w:color w:val="0E7C8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00" Type="http://schemas.openxmlformats.org/officeDocument/2006/relationships/hyperlink" Target="https://lucide.dev/license" TargetMode="External"/><Relationship Id="rId301" Type="http://schemas.openxmlformats.org/officeDocument/2006/relationships/hyperlink" Target="https://www.w3.org/TR/WCAG22/" TargetMode="External"/><Relationship Id="rId302" Type="http://schemas.openxmlformats.org/officeDocument/2006/relationships/hyperlink" Target="https://web.dev/articles/vitals" TargetMode="External"/><Relationship Id="rId303" Type="http://schemas.openxmlformats.org/officeDocument/2006/relationships/hyperlink" Target="https://getpino.io" TargetMode="External"/><Relationship Id="rId304" Type="http://schemas.openxmlformats.org/officeDocument/2006/relationships/hyperlink" Target="https://supabase.com/docs/guides/local-development/cli/getting-started" TargetMode="External"/><Relationship Id="rId305" Type="http://schemas.openxmlformats.org/officeDocument/2006/relationships/hyperlink" Target="https://supabase.com/docs/guides/local-development/testing/overview" TargetMode="External"/><Relationship Id="rId306" Type="http://schemas.openxmlformats.org/officeDocument/2006/relationships/hyperlink" Target="https://playwright.dev" TargetMode="External"/><Relationship Id="rId307" Type="http://schemas.openxmlformats.org/officeDocument/2006/relationships/hyperlink" Target="https://vitest.dev" TargetMode="External"/><Relationship Id="rId308" Type="http://schemas.openxmlformats.org/officeDocument/2006/relationships/hyperlink" Target="https://github.com/open-spaced-repetition/ts-fsrs" TargetMode="External"/><Relationship Id="rId309" Type="http://schemas.openxmlformats.org/officeDocument/2006/relationships/hyperlink" Target="https://fonts.google.com/specimen/Instrument+Serif" TargetMode="External"/><Relationship Id="rId310" Type="http://schemas.openxmlformats.org/officeDocument/2006/relationships/hyperlink" Target="https://m3.material.io/foundations/layout/applying-layout/window-size-classes" TargetMode="External"/><Relationship Id="rId311" Type="http://schemas.openxmlformats.org/officeDocument/2006/relationships/hyperlink" Target="https://developer.mozilla.org/en-US/docs/Web/API/View_Transition_API" TargetMode="External"/><Relationship Id="rId312" Type="http://schemas.openxmlformats.org/officeDocument/2006/relationships/hyperlink" Target="https://developer.mozilla.org/en-US/docs/Web/CSS/env" TargetMode="External"/><Relationship Id="rId313" Type="http://schemas.openxmlformats.org/officeDocument/2006/relationships/hyperlink" Target="https://openstax.org/details/books/anatomy-and-physiology-2e" TargetMode="External"/><Relationship Id="rId314" Type="http://schemas.openxmlformats.org/officeDocument/2006/relationships/hyperlink" Target="https://smart.servier.com/terms-of-use/" TargetMode="External"/><Relationship Id="rId315" Type="http://schemas.openxmlformats.org/officeDocument/2006/relationships/hyperlink" Target="https://dbarchive.biosciencedbc.jp/en/bodyparts3d/lic.html" TargetMode="External"/><Relationship Id="rId316" Type="http://schemas.openxmlformats.org/officeDocument/2006/relationships/hyperlink" Target="https://github.com/Z-Anatomy/Models-of-human-anatomy/blob/master/License.txt" TargetMode="External"/><Relationship Id="rId317" Type="http://schemas.openxmlformats.org/officeDocument/2006/relationships/hyperlink" Target="https://vercel.com/docs/limits/fair-use-guidel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MedLearn OS: Student Profile Page Plan</dc:title>
  <dc:subject>Indian MBBS daily learning platform</dc:subject>
  <dc:creator>Project Team</dc:creator>
  <cp:keywords>MBBS, medical education, product blueprint, visual learning, curriculum, spaced repetition, medical content accuracy</cp:keywords>
  <dc:description>Version 0.6 plan (adds to v0.1 to v0.5); companion to Product Blueprint v0.3.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