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70857d722304e6a" /></Relationships>
</file>

<file path=word/document.xml><?xml version="1.0" encoding="utf-8"?>
<w:document xmlns:w="http://schemas.openxmlformats.org/wordprocessingml/2006/main">
  <w:body>
    <w:tbl>
      <w:tblPr>
        <w:tblW w:w="100" w:type="pct"/>
        <w:tblBorders>
          <w:top w:val="single" w:sz="4"/>
          <w:bottom w:val="single" w:sz="4"/>
          <w:left w:val="single" w:sz="4"/>
          <w:right w:val="single" w:sz="4"/>
        </w:tblBorders>
      </w:tblPr>
      <w:tr>
        <w:tc>
          <w:tcPr>
            <w:tcW w:w="50" w:type="pct"/>
          </w:tcPr>
          <w:p>
            <w:pPr>
              <w:jc w:val="left"/>
            </w:pPr>
            <w:r>
              <w:rPr>
                <w:b/>
                <w:rFonts w:ascii="Arial"/>
                <w:sz w:val="24"/>
              </w:rPr>
              <w:t>Ref: SAMPLE-REF-001</w:t>
            </w:r>
          </w:p>
        </w:tc>
        <w:tc>
          <w:tcPr>
            <w:tcW w:w="50" w:type="pct"/>
          </w:tcPr>
          <w:p>
            <w:pPr>
              <w:jc w:val="right"/>
            </w:pPr>
            <w:r>
              <w:rPr>
                <w:b/>
                <w:rFonts w:ascii="Arial"/>
                <w:sz w:val="24"/>
              </w:rPr>
              <w:t>Date: 01-01-2026</w:t>
            </w:r>
          </w:p>
        </w:tc>
      </w:tr>
    </w:tbl>
    <w:tbl>
      <w:tblPr>
        <w:tblW w:w="100" w:type="pct"/>
        <w:tblBorders>
          <w:top w:val="single" w:sz="4"/>
          <w:bottom w:val="single" w:sz="4"/>
          <w:left w:val="single" w:sz="4"/>
          <w:right w:val="single" w:sz="4"/>
        </w:tblBorders>
      </w:tblPr>
      <w:tr>
        <w:tc>
          <w:tcPr>
            <w:tcW w:w="20" w:type="pct"/>
          </w:tcPr>
          <w:p>
            <w:pPr>
              <w:jc w:val="left"/>
            </w:pPr>
            <w:r>
              <w:rPr>
                <w:b/>
                <w:rFonts w:ascii="Arial"/>
                <w:sz w:val="24"/>
              </w:rPr>
              <w:t>NOTE TO:</w:t>
            </w:r>
          </w:p>
        </w:tc>
        <w:tc>
          <w:tcPr>
            <w:tcW w:w="80" w:type="pct"/>
          </w:tcPr>
          <w:p>
            <w:pPr>
              <w:jc w:val="left"/>
            </w:pPr>
            <w:r>
              <w:rPr>
                <w:b/>
                <w:rFonts w:ascii="Arial"/>
                <w:sz w:val="24"/>
              </w:rPr>
              <w:t>CHIEF PROCUREMENT OFFICER, CPO (M)</w:t>
            </w:r>
          </w:p>
        </w:tc>
      </w:tr>
    </w:tbl>
    <w:tbl>
      <w:tblPr>
        <w:tblW w:w="100" w:type="pct"/>
        <w:tblBorders>
          <w:top w:val="single" w:sz="4"/>
          <w:bottom w:val="single" w:sz="4"/>
          <w:left w:val="single" w:sz="4"/>
          <w:right w:val="single" w:sz="4"/>
        </w:tblBorders>
      </w:tblPr>
      <w:tr>
        <w:tc>
          <w:tcPr>
            <w:tcW w:w="20" w:type="pct"/>
          </w:tcPr>
          <w:p>
            <w:pPr>
              <w:jc w:val="left"/>
            </w:pPr>
            <w:r>
              <w:rPr>
                <w:b/>
                <w:rFonts w:ascii="Arial"/>
                <w:sz w:val="24"/>
              </w:rPr>
              <w:t>SUBJECT:</w:t>
            </w:r>
          </w:p>
        </w:tc>
        <w:tc>
          <w:tcPr>
            <w:tcW w:w="80" w:type="pct"/>
          </w:tcPr>
          <w:p>
            <w:pPr>
              <w:jc w:val="left"/>
            </w:pPr>
            <w:r>
              <w:rPr>
                <w:b/>
                <w:rFonts w:ascii="Arial"/>
                <w:sz w:val="24"/>
              </w:rPr>
              <w:t>Procurement of Test Equipment</w:t>
            </w:r>
          </w:p>
        </w:tc>
      </w:tr>
    </w:tbl>
    <w:p>
      <w:r>
        <w:t/>
      </w:r>
    </w:p>
    <w:p>
      <w:pPr>
        <w:jc w:val="left"/>
      </w:pPr>
      <w:r>
        <w:rPr>
          <w:rFonts w:ascii="Arial"/>
          <w:sz w:val="24"/>
          <w:b/>
        </w:rPr>
        <w:t>1. PREAMBLE</w:t>
      </w:r>
    </w:p>
    <w:tbl>
      <w:tblPr>
        <w:tblW w:w="100" w:type="pct"/>
        <w:tblBorders>
          <w:top w:val="single" w:sz="4"/>
          <w:bottom w:val="single" w:sz="4"/>
          <w:left w:val="single" w:sz="4"/>
          <w:right w:val="single" w:sz="4"/>
          <w:insideH w:val="single" w:sz="4"/>
          <w:insideV w:val="single" w:sz="4"/>
        </w:tblBorders>
      </w:tblPr>
      <w:tr>
        <w:tc>
          <w:tcPr>
            <w:tcW w:w="30" w:type="pct"/>
          </w:tcPr>
          <w:p>
            <w:pPr>
              <w:jc w:val="left"/>
            </w:pPr>
            <w:r>
              <w:rPr>
                <w:rFonts w:ascii="Arial"/>
                <w:sz w:val="24"/>
                <w:b/>
              </w:rPr>
              <w:t>Tender Description</w:t>
            </w:r>
          </w:p>
        </w:tc>
        <w:tc>
          <w:tcPr>
            <w:tcW w:w="70" w:type="pct"/>
          </w:tcPr>
          <w:p>
            <w:pPr>
              <w:jc w:val="left"/>
            </w:pPr>
            <w:r>
              <w:rPr>
                <w:rFonts w:ascii="Arial"/>
                <w:sz w:val="24"/>
              </w:rPr>
              <w:t>Supply and installation of test equipment with warranty and AMC</w:t>
            </w:r>
          </w:p>
        </w:tc>
      </w:tr>
      <w:tr>
        <w:tc>
          <w:tcPr>
            <w:tcW w:w="30" w:type="pct"/>
          </w:tcPr>
          <w:p>
            <w:pPr>
              <w:jc w:val="left"/>
            </w:pPr>
            <w:r>
              <w:rPr>
                <w:rFonts w:ascii="Arial"/>
                <w:sz w:val="24"/>
                <w:b/>
              </w:rPr>
              <w:t>PR reference/ Email reference</w:t>
            </w:r>
          </w:p>
        </w:tc>
        <w:tc>
          <w:tcPr>
            <w:tcW w:w="70" w:type="pct"/>
          </w:tcPr>
          <w:p>
            <w:pPr>
              <w:jc w:val="left"/>
            </w:pPr>
            <w:r>
              <w:rPr>
                <w:rFonts w:ascii="Arial"/>
                <w:sz w:val="24"/>
              </w:rPr>
              <w:t>PR-1001</w:t>
            </w:r>
          </w:p>
        </w:tc>
      </w:tr>
      <w:tr>
        <w:tc>
          <w:tcPr>
            <w:tcW w:w="30" w:type="pct"/>
          </w:tcPr>
          <w:p>
            <w:pPr>
              <w:jc w:val="left"/>
            </w:pPr>
            <w:r>
              <w:rPr>
                <w:rFonts w:ascii="Arial"/>
                <w:sz w:val="24"/>
                <w:b/>
              </w:rPr>
              <w:t>Type of Tender</w:t>
            </w:r>
          </w:p>
        </w:tc>
        <w:tc>
          <w:tcPr>
            <w:tcW w:w="70" w:type="pct"/>
          </w:tcPr>
          <w:p>
            <w:pPr>
              <w:jc w:val="left"/>
            </w:pPr>
            <w:r>
              <w:rPr>
                <w:rFonts w:ascii="Arial"/>
                <w:sz w:val="24"/>
              </w:rPr>
              <w:t>Goods</w:t>
            </w:r>
          </w:p>
        </w:tc>
      </w:tr>
      <w:tr>
        <w:tc>
          <w:tcPr>
            <w:tcW w:w="30" w:type="pct"/>
          </w:tcPr>
          <w:p>
            <w:pPr>
              <w:jc w:val="left"/>
            </w:pPr>
            <w:r>
              <w:rPr>
                <w:rFonts w:ascii="Arial"/>
                <w:sz w:val="24"/>
                <w:b/>
              </w:rPr>
              <w:t>CEC estimate (incl. of GST)/ Date</w:t>
            </w:r>
          </w:p>
        </w:tc>
        <w:tc>
          <w:tcPr>
            <w:tcW w:w="70" w:type="pct"/>
          </w:tcPr>
          <w:p>
            <w:pPr>
              <w:jc w:val="left"/>
            </w:pPr>
            <w:r>
              <w:rPr>
                <w:rFonts w:ascii="Arial"/>
                <w:sz w:val="24"/>
              </w:rPr>
              <w:t>₹ 1,23,45,00,000 / 2025-12-01</w:t>
            </w:r>
          </w:p>
        </w:tc>
      </w:tr>
      <w:tr>
        <w:tc>
          <w:tcPr>
            <w:tcW w:w="30" w:type="pct"/>
          </w:tcPr>
          <w:p>
            <w:pPr>
              <w:jc w:val="left"/>
            </w:pPr>
            <w:r>
              <w:rPr>
                <w:rFonts w:ascii="Arial"/>
                <w:sz w:val="24"/>
                <w:b/>
              </w:rPr>
              <w:t>CEC estimate exclusive of GST</w:t>
            </w:r>
          </w:p>
        </w:tc>
        <w:tc>
          <w:tcPr>
            <w:tcW w:w="70" w:type="pct"/>
          </w:tcPr>
          <w:p>
            <w:pPr>
              <w:jc w:val="left"/>
            </w:pPr>
            <w:r>
              <w:rPr>
                <w:rFonts w:ascii="Arial"/>
                <w:sz w:val="24"/>
              </w:rPr>
              <w:t>₹ 1,10,00,00,000</w:t>
            </w:r>
          </w:p>
        </w:tc>
      </w:tr>
      <w:tr>
        <w:tc>
          <w:tcPr>
            <w:tcW w:w="30" w:type="pct"/>
          </w:tcPr>
          <w:p>
            <w:pPr>
              <w:jc w:val="left"/>
            </w:pPr>
            <w:r>
              <w:rPr>
                <w:rFonts w:ascii="Arial"/>
                <w:sz w:val="24"/>
                <w:b/>
              </w:rPr>
              <w:t>Budget Details (WBS/ Revex)</w:t>
            </w:r>
          </w:p>
        </w:tc>
        <w:tc>
          <w:tcPr>
            <w:tcW w:w="70" w:type="pct"/>
          </w:tcPr>
          <w:p>
            <w:pPr>
              <w:jc w:val="left"/>
            </w:pPr>
            <w:r>
              <w:rPr>
                <w:rFonts w:ascii="Arial"/>
                <w:sz w:val="24"/>
              </w:rPr>
              <w:t>Budget holder: Finance</w:t>
            </w:r>
          </w:p>
        </w:tc>
      </w:tr>
      <w:tr>
        <w:tc>
          <w:tcPr>
            <w:tcW w:w="30" w:type="pct"/>
          </w:tcPr>
          <w:p>
            <w:pPr>
              <w:jc w:val="left"/>
            </w:pPr>
            <w:r>
              <w:rPr>
                <w:rFonts w:ascii="Arial"/>
                <w:sz w:val="24"/>
                <w:b/>
              </w:rPr>
              <w:t>Tender Platform</w:t>
            </w:r>
          </w:p>
        </w:tc>
        <w:tc>
          <w:tcPr>
            <w:tcW w:w="70" w:type="pct"/>
          </w:tcPr>
          <w:p>
            <w:pPr>
              <w:jc w:val="left"/>
            </w:pPr>
            <w:r>
              <w:rPr>
                <w:rFonts w:ascii="Arial"/>
                <w:sz w:val="24"/>
              </w:rPr>
              <w:t>GeM</w:t>
            </w:r>
          </w:p>
        </w:tc>
      </w:tr>
    </w:tbl>
    <w:p>
      <w:r>
        <w:t/>
      </w:r>
    </w:p>
    <w:p>
      <w:pPr>
        <w:jc w:val="left"/>
      </w:pPr>
      <w:r>
        <w:rPr>
          <w:rFonts w:ascii="Arial"/>
          <w:sz w:val="24"/>
          <w:b/>
        </w:rPr>
        <w:t>BRIEF SCOPE OF WORK</w:t>
      </w:r>
    </w:p>
    <w:tbl>
      <w:tblPr>
        <w:tblW w:w="100" w:type="pct"/>
        <w:tblBorders>
          <w:top w:val="single" w:sz="4"/>
          <w:bottom w:val="single" w:sz="4"/>
          <w:left w:val="single" w:sz="4"/>
          <w:right w:val="single" w:sz="4"/>
          <w:insideH w:val="single" w:sz="4"/>
          <w:insideV w:val="single" w:sz="4"/>
        </w:tblBorders>
      </w:tblPr>
      <w:tr>
        <w:tc>
          <w:tcPr>
            <w:tcW w:w="30" w:type="pct"/>
          </w:tcPr>
          <w:p>
            <w:pPr>
              <w:jc w:val="left"/>
            </w:pPr>
            <w:r>
              <w:rPr>
                <w:rFonts w:ascii="Arial"/>
                <w:sz w:val="24"/>
                <w:b/>
              </w:rPr>
              <w:t>Brief Scope of Work / Supply Items</w:t>
            </w:r>
          </w:p>
        </w:tc>
        <w:tc>
          <w:tcPr>
            <w:tcW w:w="70" w:type="pct"/>
          </w:tcPr>
          <w:p>
            <w:pPr>
              <w:jc w:val="left"/>
            </w:pPr>
            <w:r>
              <w:rPr>
                <w:rFonts w:ascii="Arial"/>
                <w:sz w:val="24"/>
              </w:rPr>
              <w:t>Supply and installation of test equipment with warranty and AMC</w:t>
            </w:r>
          </w:p>
        </w:tc>
      </w:tr>
      <w:tr>
        <w:tc>
          <w:tcPr>
            <w:tcW w:w="30" w:type="pct"/>
          </w:tcPr>
          <w:p>
            <w:pPr>
              <w:jc w:val="left"/>
            </w:pPr>
            <w:r>
              <w:rPr>
                <w:rFonts w:ascii="Arial"/>
                <w:sz w:val="24"/>
                <w:b/>
              </w:rPr>
              <w:t>Contract Period /Completion Period</w:t>
            </w:r>
          </w:p>
        </w:tc>
        <w:tc>
          <w:tcPr>
            <w:tcW w:w="70" w:type="pct"/>
          </w:tcPr>
          <w:p>
            <w:pPr>
              <w:jc w:val="left"/>
            </w:pPr>
            <w:r>
              <w:rPr>
                <w:rFonts w:ascii="Arial"/>
                <w:sz w:val="24"/>
              </w:rPr>
              <w:t>24 months</w:t>
            </w:r>
          </w:p>
        </w:tc>
      </w:tr>
      <w:tr>
        <w:tc>
          <w:tcPr>
            <w:tcW w:w="30" w:type="pct"/>
          </w:tcPr>
          <w:p>
            <w:pPr>
              <w:jc w:val="left"/>
            </w:pPr>
            <w:r>
              <w:rPr>
                <w:rFonts w:ascii="Arial"/>
                <w:sz w:val="24"/>
                <w:b/>
              </w:rPr>
              <w:t>Delivery Period of the Item</w:t>
            </w:r>
          </w:p>
        </w:tc>
        <w:tc>
          <w:tcPr>
            <w:tcW w:w="70" w:type="pct"/>
          </w:tcPr>
          <w:p>
            <w:pPr>
              <w:jc w:val="left"/>
            </w:pPr>
            <w:r>
              <w:rPr>
                <w:rFonts w:ascii="Arial"/>
                <w:sz w:val="24"/>
              </w:rPr>
              <w:t>6 weeks from PO</w:t>
            </w:r>
          </w:p>
        </w:tc>
      </w:tr>
      <w:tr>
        <w:tc>
          <w:tcPr>
            <w:tcW w:w="30" w:type="pct"/>
          </w:tcPr>
          <w:p>
            <w:pPr>
              <w:jc w:val="left"/>
            </w:pPr>
            <w:r>
              <w:rPr>
                <w:rFonts w:ascii="Arial"/>
                <w:sz w:val="24"/>
                <w:b/>
              </w:rPr>
              <w:t>Warranty Period</w:t>
            </w:r>
          </w:p>
        </w:tc>
        <w:tc>
          <w:tcPr>
            <w:tcW w:w="70" w:type="pct"/>
          </w:tcPr>
          <w:p>
            <w:pPr>
              <w:jc w:val="left"/>
            </w:pPr>
            <w:r>
              <w:rPr>
                <w:rFonts w:ascii="Arial"/>
                <w:sz w:val="24"/>
              </w:rPr>
              <w:t>12 months</w:t>
            </w:r>
          </w:p>
        </w:tc>
      </w:tr>
      <w:tr>
        <w:tc>
          <w:tcPr>
            <w:tcW w:w="30" w:type="pct"/>
          </w:tcPr>
          <w:p>
            <w:pPr>
              <w:jc w:val="left"/>
            </w:pPr>
            <w:r>
              <w:rPr>
                <w:rFonts w:ascii="Arial"/>
                <w:sz w:val="24"/>
                <w:b/>
              </w:rPr>
              <w:t>AMC/ CAMC/ O&amp;M (No. of Years)</w:t>
            </w:r>
          </w:p>
        </w:tc>
        <w:tc>
          <w:tcPr>
            <w:tcW w:w="70" w:type="pct"/>
          </w:tcPr>
          <w:p>
            <w:pPr>
              <w:jc w:val="left"/>
            </w:pPr>
            <w:r>
              <w:rPr>
                <w:rFonts w:ascii="Arial"/>
                <w:sz w:val="24"/>
              </w:rPr>
              <w:t>12 months</w:t>
            </w:r>
          </w:p>
        </w:tc>
      </w:tr>
      <w:tr>
        <w:tc>
          <w:tcPr>
            <w:tcW w:w="30" w:type="pct"/>
          </w:tcPr>
          <w:p>
            <w:pPr>
              <w:jc w:val="left"/>
            </w:pPr>
            <w:r>
              <w:rPr>
                <w:rFonts w:ascii="Arial"/>
                <w:sz w:val="24"/>
                <w:b/>
              </w:rPr>
              <w:t>Payment Terms (if different from standard terms i.e within 30 days)</w:t>
            </w:r>
          </w:p>
        </w:tc>
        <w:tc>
          <w:tcPr>
            <w:tcW w:w="70" w:type="pct"/>
          </w:tcPr>
          <w:p>
            <w:pPr>
              <w:jc w:val="left"/>
            </w:pPr>
            <w:r>
              <w:rPr>
                <w:rFonts w:ascii="Arial"/>
                <w:sz w:val="24"/>
              </w:rPr>
              <w:t>30% advance, balance on delivery</w:t>
            </w:r>
          </w:p>
        </w:tc>
      </w:tr>
    </w:tbl>
    <w:p>
      <w:r>
        <w:t/>
      </w:r>
    </w:p>
    <w:p>
      <w:pPr>
        <w:jc w:val="left"/>
      </w:pPr>
      <w:r>
        <w:rPr>
          <w:rFonts w:ascii="Arial"/>
          <w:sz w:val="24"/>
          <w:b/>
        </w:rPr>
        <w:t>3. BID QUALIFICATION CRITERIA (BQC)</w:t>
      </w:r>
    </w:p>
    <w:p>
      <w:pPr>
        <w:jc w:val="left"/>
      </w:pPr>
      <w:r>
        <w:rPr>
          <w:rFonts w:ascii="Arial"/>
          <w:sz w:val="24"/>
        </w:rPr>
        <w:t>BPCL would like to qualify vendors for undertaking the above work as indicated in the brief scope. Detailed bid qualification criteria for short listing vendors shall be as follows:</w:t>
      </w:r>
    </w:p>
    <w:p>
      <w:r>
        <w:t/>
      </w:r>
    </w:p>
    <w:p>
      <w:pPr>
        <w:jc w:val="left"/>
      </w:pPr>
      <w:r>
        <w:rPr>
          <w:rFonts w:ascii="Arial"/>
          <w:sz w:val="24"/>
          <w:b/>
        </w:rPr>
        <w:t>3.1 TECHNICAL CRITERIA</w:t>
      </w:r>
    </w:p>
    <w:p>
      <w:r>
        <w:t/>
      </w:r>
    </w:p>
    <w:p>
      <w:pPr>
        <w:jc w:val="left"/>
      </w:pPr>
      <w:r>
        <w:rPr>
          <w:rFonts w:ascii="Arial"/>
          <w:sz w:val="24"/>
          <w:b/>
        </w:rPr>
        <w:t>3.1.1. For GOODS:</w:t>
      </w:r>
    </w:p>
    <w:p>
      <w:pPr>
        <w:jc w:val="left"/>
      </w:pPr>
      <w:r>
        <w:rPr>
          <w:rFonts w:ascii="Arial"/>
          <w:sz w:val="24"/>
          <w:b/>
        </w:rPr>
        <w:t>Manufacturing Capability:</w:t>
      </w:r>
    </w:p>
    <w:p>
      <w:pPr>
        <w:jc w:val="left"/>
      </w:pPr>
      <w:r>
        <w:rPr>
          <w:rFonts w:ascii="Arial"/>
          <w:sz w:val="24"/>
        </w:rPr>
        <w:t>Bidder* should be OEM AND/OR Authorized Dealer of the item being tendered.</w:t>
      </w:r>
    </w:p>
    <w:p>
      <w:r>
        <w:t/>
      </w:r>
    </w:p>
    <w:p>
      <w:pPr>
        <w:jc w:val="left"/>
      </w:pPr>
      <w:r>
        <w:rPr>
          <w:rFonts w:ascii="Arial"/>
          <w:sz w:val="24"/>
          <w:b/>
        </w:rPr>
        <w:t>Supplying Capacity:</w:t>
      </w:r>
    </w:p>
    <w:p>
      <w:pPr>
        <w:jc w:val="left"/>
      </w:pPr>
      <w:r>
        <w:rPr>
          <w:rFonts w:ascii="Arial"/>
          <w:sz w:val="24"/>
        </w:rPr>
        <w:t>Non-MSE (Standard) Requirements:
The bidder should have supplied similar goods in the last Seven (7) years. The quantity supplied should be at least 30% of the total quantity required for each lot as per below table.</w:t>
      </w:r>
    </w:p>
    <w:p>
      <w:pPr>
        <w:jc w:val="left"/>
      </w:pPr>
      <w:r>
        <w:rPr>
          <w:rFonts w:ascii="Arial"/>
          <w:sz w:val="24"/>
        </w:rPr>
        <w:t>For MSE bidders, Relaxation of 15% on the supplying capacity shall be given as per Corp. Finance Circular MA.TEC.POL.CON.3A dated 26.10.2020.</w:t>
      </w:r>
    </w:p>
    <w:p>
      <w:r>
        <w:t/>
      </w:r>
    </w:p>
    <w:tbl>
      <w:tblPr>
        <w:tblW w:w="100" w:type="pct"/>
        <w:tblBorders>
          <w:top w:val="single" w:sz="4"/>
          <w:bottom w:val="single" w:sz="4"/>
          <w:left w:val="single" w:sz="4"/>
          <w:right w:val="single" w:sz="4"/>
          <w:insideH w:val="single" w:sz="4"/>
          <w:insideV w:val="single" w:sz="4"/>
        </w:tblBorders>
      </w:tblPr>
      <w:tr>
        <w:tc>
          <w:tcPr>
            <w:tcW w:w="10" w:type="pct"/>
          </w:tcPr>
          <w:p>
            <w:pPr>
              <w:jc w:val="center"/>
            </w:pPr>
            <w:r>
              <w:rPr>
                <w:rFonts w:ascii="Arial"/>
                <w:sz w:val="24"/>
                <w:b/>
              </w:rPr>
              <w:t>Sr. No.</w:t>
            </w:r>
          </w:p>
        </w:tc>
        <w:tc>
          <w:tcPr>
            <w:tcW w:w="30" w:type="pct"/>
          </w:tcPr>
          <w:p>
            <w:pPr>
              <w:jc w:val="center"/>
            </w:pPr>
            <w:r>
              <w:rPr>
                <w:rFonts w:ascii="Arial"/>
                <w:sz w:val="24"/>
                <w:b/>
              </w:rPr>
              <w:t>Section / Description</w:t>
            </w:r>
          </w:p>
        </w:tc>
        <w:tc>
          <w:tcPr>
            <w:tcW w:w="20" w:type="pct"/>
          </w:tcPr>
          <w:p>
            <w:pPr>
              <w:jc w:val="center"/>
            </w:pPr>
            <w:r>
              <w:rPr>
                <w:rFonts w:ascii="Arial"/>
                <w:sz w:val="24"/>
                <w:b/>
              </w:rPr>
              <w:t>Quantity Required</w:t>
            </w:r>
          </w:p>
        </w:tc>
        <w:tc>
          <w:tcPr>
            <w:tcW w:w="20" w:type="pct"/>
          </w:tcPr>
          <w:p>
            <w:pPr>
              <w:jc w:val="center"/>
            </w:pPr>
            <w:r>
              <w:rPr>
                <w:rFonts w:ascii="Arial"/>
                <w:sz w:val="24"/>
                <w:b/>
              </w:rPr>
              <w:t>Non-MSE (30%)</w:t>
            </w:r>
          </w:p>
        </w:tc>
        <w:tc>
          <w:tcPr>
            <w:tcW w:w="20" w:type="pct"/>
          </w:tcPr>
          <w:p>
            <w:pPr>
              <w:jc w:val="center"/>
            </w:pPr>
            <w:r>
              <w:rPr>
                <w:rFonts w:ascii="Arial"/>
                <w:sz w:val="24"/>
                <w:b/>
              </w:rPr>
              <w:t>MSE (15%)</w:t>
            </w:r>
          </w:p>
        </w:tc>
      </w:tr>
      <w:tr>
        <w:tc>
          <w:tcPr>
            <w:tcW w:w="10" w:type="pct"/>
          </w:tcPr>
          <w:p>
            <w:pPr>
              <w:jc w:val="center"/>
            </w:pPr>
            <w:r>
              <w:rPr>
                <w:rFonts w:ascii="Arial"/>
                <w:sz w:val="24"/>
              </w:rPr>
              <w:t>1</w:t>
            </w:r>
          </w:p>
        </w:tc>
        <w:tc>
          <w:tcPr>
            <w:tcW w:w="30" w:type="pct"/>
          </w:tcPr>
          <w:p>
            <w:pPr>
              <w:jc w:val="left"/>
            </w:pPr>
            <w:r>
              <w:rPr>
                <w:rFonts w:ascii="Arial"/>
                <w:sz w:val="24"/>
              </w:rPr>
              <w:t>Lot 1</w:t>
            </w:r>
          </w:p>
        </w:tc>
        <w:tc>
          <w:tcPr>
            <w:tcW w:w="20" w:type="pct"/>
          </w:tcPr>
          <w:p>
            <w:pPr>
              <w:jc w:val="center"/>
            </w:pPr>
            <w:r>
              <w:rPr>
                <w:rFonts w:ascii="Arial"/>
                <w:sz w:val="24"/>
              </w:rPr>
              <w:t>10</w:t>
            </w:r>
          </w:p>
        </w:tc>
        <w:tc>
          <w:tcPr>
            <w:tcW w:w="20" w:type="pct"/>
          </w:tcPr>
          <w:p>
            <w:pPr>
              <w:jc w:val="center"/>
            </w:pPr>
            <w:r>
              <w:rPr>
                <w:rFonts w:ascii="Arial"/>
                <w:sz w:val="24"/>
              </w:rPr>
              <w:t>3</w:t>
            </w:r>
          </w:p>
        </w:tc>
        <w:tc>
          <w:tcPr>
            <w:tcW w:w="20" w:type="pct"/>
          </w:tcPr>
          <w:p>
            <w:pPr>
              <w:jc w:val="center"/>
            </w:pPr>
            <w:r>
              <w:rPr>
                <w:rFonts w:ascii="Arial"/>
                <w:sz w:val="24"/>
              </w:rPr>
              <w:t>2</w:t>
            </w:r>
          </w:p>
        </w:tc>
      </w:tr>
      <w:tr>
        <w:tc>
          <w:tcPr>
            <w:tcW w:w="10" w:type="pct"/>
          </w:tcPr>
          <w:p>
            <w:pPr>
              <w:jc w:val="center"/>
            </w:pPr>
            <w:r>
              <w:rPr>
                <w:rFonts w:ascii="Arial"/>
                <w:sz w:val="24"/>
              </w:rPr>
              <w:t>2</w:t>
            </w:r>
          </w:p>
        </w:tc>
        <w:tc>
          <w:tcPr>
            <w:tcW w:w="30" w:type="pct"/>
          </w:tcPr>
          <w:p>
            <w:pPr>
              <w:jc w:val="left"/>
            </w:pPr>
            <w:r>
              <w:rPr>
                <w:rFonts w:ascii="Arial"/>
                <w:sz w:val="24"/>
              </w:rPr>
              <w:t>Lot 2</w:t>
            </w:r>
          </w:p>
        </w:tc>
        <w:tc>
          <w:tcPr>
            <w:tcW w:w="20" w:type="pct"/>
          </w:tcPr>
          <w:p>
            <w:pPr>
              <w:jc w:val="center"/>
            </w:pPr>
            <w:r>
              <w:rPr>
                <w:rFonts w:ascii="Arial"/>
                <w:sz w:val="24"/>
              </w:rPr>
              <w:t>5</w:t>
            </w:r>
          </w:p>
        </w:tc>
        <w:tc>
          <w:tcPr>
            <w:tcW w:w="20" w:type="pct"/>
          </w:tcPr>
          <w:p>
            <w:pPr>
              <w:jc w:val="center"/>
            </w:pPr>
            <w:r>
              <w:rPr>
                <w:rFonts w:ascii="Arial"/>
                <w:sz w:val="24"/>
              </w:rPr>
              <w:t>2</w:t>
            </w:r>
          </w:p>
        </w:tc>
        <w:tc>
          <w:tcPr>
            <w:tcW w:w="20" w:type="pct"/>
          </w:tcPr>
          <w:p>
            <w:pPr>
              <w:jc w:val="center"/>
            </w:pPr>
            <w:r>
              <w:rPr>
                <w:rFonts w:ascii="Arial"/>
                <w:sz w:val="24"/>
              </w:rPr>
              <w:t>1</w:t>
            </w:r>
          </w:p>
        </w:tc>
      </w:tr>
      <w:tr>
        <w:tc>
          <w:tcPr>
            <w:tcW w:w="10" w:type="pct"/>
          </w:tcPr>
          <w:p>
            <w:pPr>
              <w:jc w:val="center"/>
            </w:pPr>
            <w:r>
              <w:rPr>
                <w:rFonts w:ascii="Arial"/>
                <w:sz w:val="24"/>
              </w:rPr>
              <w:t>3</w:t>
            </w:r>
          </w:p>
        </w:tc>
        <w:tc>
          <w:tcPr>
            <w:tcW w:w="30" w:type="pct"/>
          </w:tcPr>
          <w:p>
            <w:pPr>
              <w:jc w:val="left"/>
            </w:pPr>
            <w:r>
              <w:rPr>
                <w:rFonts w:ascii="Arial"/>
                <w:sz w:val="24"/>
                <w:b/>
              </w:rPr>
              <w:t>TOTAL FOR ALL LOTS</w:t>
            </w:r>
          </w:p>
        </w:tc>
        <w:tc>
          <w:tcPr>
            <w:tcW w:w="20" w:type="pct"/>
          </w:tcPr>
          <w:p>
            <w:pPr>
              <w:jc w:val="center"/>
            </w:pPr>
            <w:r>
              <w:rPr>
                <w:rFonts w:ascii="Arial"/>
                <w:sz w:val="24"/>
              </w:rPr>
              <w:t>15</w:t>
            </w:r>
          </w:p>
        </w:tc>
        <w:tc>
          <w:tcPr>
            <w:tcW w:w="20" w:type="pct"/>
          </w:tcPr>
          <w:p>
            <w:pPr>
              <w:jc w:val="center"/>
            </w:pPr>
            <w:r>
              <w:rPr>
                <w:rFonts w:ascii="Arial"/>
                <w:sz w:val="24"/>
              </w:rPr>
              <w:t>4</w:t>
            </w:r>
          </w:p>
        </w:tc>
        <w:tc>
          <w:tcPr>
            <w:tcW w:w="20" w:type="pct"/>
          </w:tcPr>
          <w:p>
            <w:pPr>
              <w:jc w:val="center"/>
            </w:pPr>
            <w:r>
              <w:rPr>
                <w:rFonts w:ascii="Arial"/>
                <w:sz w:val="24"/>
              </w:rPr>
              <w:t>2</w:t>
            </w:r>
          </w:p>
        </w:tc>
      </w:tr>
    </w:tbl>
    <w:p>
      <w:pPr>
        <w:jc w:val="left"/>
      </w:pPr>
      <w:r>
        <w:rPr>
          <w:rFonts w:ascii="Arial"/>
          <w:sz w:val="24"/>
        </w:rPr>
        <w:t>Bidder can quote for any one or more than one LOT based on their capability/choice.</w:t>
      </w:r>
    </w:p>
    <w:p>
      <w:r>
        <w:t/>
      </w:r>
    </w:p>
    <w:p>
      <w:r>
        <w:rPr>
          <w:rFonts w:ascii="Arial"/>
          <w:sz w:val="24"/>
          <w:b/>
        </w:rPr>
        <w:t xml:space="preserve">Experience:</w:t>
      </w:r>
      <w:r>
        <w:rPr>
          <w:rFonts w:ascii="Arial"/>
          <w:sz w:val="24"/>
        </w:rPr>
        <w:t xml:space="preserve"> Must have completed similar works with satisfactory performance.</w:t>
      </w:r>
    </w:p>
    <w:p>
      <w:r>
        <w:t/>
      </w:r>
    </w:p>
    <w:p>
      <w:r>
        <w:t/>
      </w:r>
    </w:p>
    <w:p>
      <w:pPr>
        <w:jc w:val="left"/>
      </w:pPr>
      <w:r>
        <w:rPr>
          <w:rFonts w:ascii="Arial"/>
          <w:sz w:val="24"/>
          <w:b/>
        </w:rPr>
        <w:t>ADDITIONAL DETAILS</w:t>
      </w:r>
    </w:p>
    <w:p>
      <w:pPr>
        <w:jc w:val="left"/>
      </w:pPr>
      <w:r>
        <w:rPr>
          <w:rFonts w:ascii="Arial"/>
          <w:sz w:val="24"/>
        </w:rPr>
        <w:t>No additional details</w:t>
      </w:r>
    </w:p>
    <w:p>
      <w:r>
        <w:t/>
      </w:r>
    </w:p>
    <w:p>
      <w:r>
        <w:rPr>
          <w:rFonts w:ascii="Arial"/>
          <w:sz w:val="24"/>
        </w:rPr>
        <w:t xml:space="preserve">Additional operational requirements to be met by bidder.</w:t>
      </w:r>
    </w:p>
    <w:p>
      <w:r>
        <w:t/>
      </w:r>
    </w:p>
    <w:p>
      <w:pPr>
        <w:jc w:val="left"/>
      </w:pPr>
      <w:r>
        <w:rPr>
          <w:rFonts w:ascii="Arial"/>
          <w:sz w:val="24"/>
          <w:b/>
        </w:rPr>
        <w:t>3.2 FINANCIAL CRITERIA</w:t>
      </w:r>
    </w:p>
    <w:p>
      <w:pPr>
        <w:jc w:val="left"/>
      </w:pPr>
      <w:r>
        <w:rPr>
          <w:rFonts w:ascii="Arial"/>
          <w:sz w:val="24"/>
          <w:b/>
        </w:rPr>
        <w:t>3.2.1 ANNUAL TURNOVER</w:t>
      </w:r>
    </w:p>
    <w:p>
      <w:pPr>
        <w:jc w:val="left"/>
      </w:pPr>
      <w:r>
        <w:rPr>
          <w:rFonts w:ascii="Arial"/>
          <w:sz w:val="24"/>
        </w:rPr>
        <w:t>The bidder should have achieved a minimum Average Annual financial turnover as per below table (LOT-WISE).as per Audited Balance sheet and P&amp;L Statement in the last three* accounting years prior to due date of bid submission.</w:t>
      </w:r>
    </w:p>
    <w:tbl>
      <w:tblPr>
        <w:tblW w:w="100" w:type="pct"/>
        <w:tblBorders>
          <w:top w:val="single" w:sz="4"/>
          <w:bottom w:val="single" w:sz="4"/>
          <w:left w:val="single" w:sz="4"/>
          <w:right w:val="single" w:sz="4"/>
          <w:insideH w:val="single" w:sz="4"/>
          <w:insideV w:val="single" w:sz="4"/>
        </w:tblBorders>
      </w:tblPr>
      <w:tr>
        <w:tc>
          <w:tcPr>
            <w:tcW w:w="10" w:type="pct"/>
          </w:tcPr>
          <w:p>
            <w:pPr>
              <w:jc w:val="center"/>
            </w:pPr>
            <w:r>
              <w:rPr>
                <w:rFonts w:ascii="Arial"/>
                <w:sz w:val="24"/>
                <w:b/>
              </w:rPr>
              <w:t>Sr. No.</w:t>
            </w:r>
          </w:p>
        </w:tc>
        <w:tc>
          <w:tcPr>
            <w:tcW w:w="40" w:type="pct"/>
          </w:tcPr>
          <w:p>
            <w:pPr>
              <w:jc w:val="center"/>
            </w:pPr>
            <w:r>
              <w:rPr>
                <w:rFonts w:ascii="Arial"/>
                <w:sz w:val="24"/>
                <w:b/>
              </w:rPr>
              <w:t>Section / Description</w:t>
            </w:r>
          </w:p>
        </w:tc>
        <w:tc>
          <w:tcPr>
            <w:tcW w:w="25" w:type="pct"/>
          </w:tcPr>
          <w:p>
            <w:pPr>
              <w:jc w:val="center"/>
            </w:pPr>
            <w:r>
              <w:rPr>
                <w:rFonts w:ascii="Arial"/>
                <w:sz w:val="24"/>
                <w:b/>
              </w:rPr>
              <w:t>Annualized Est. Value (Lakhs)</w:t>
            </w:r>
          </w:p>
        </w:tc>
        <w:tc>
          <w:tcPr>
            <w:tcW w:w="25" w:type="pct"/>
          </w:tcPr>
          <w:p>
            <w:pPr>
              <w:jc w:val="center"/>
            </w:pPr>
            <w:r>
              <w:rPr>
                <w:rFonts w:ascii="Arial"/>
                <w:sz w:val="24"/>
                <w:b/>
              </w:rPr>
              <w:t>Avg. Annual Turnover (Lakhs)</w:t>
            </w:r>
          </w:p>
        </w:tc>
      </w:tr>
      <w:tr>
        <w:tc>
          <w:tcPr>
            <w:tcW w:w="10" w:type="pct"/>
          </w:tcPr>
          <w:p>
            <w:pPr>
              <w:jc w:val="center"/>
            </w:pPr>
            <w:r>
              <w:rPr>
                <w:rFonts w:ascii="Arial"/>
                <w:sz w:val="24"/>
              </w:rPr>
              <w:t>1</w:t>
            </w:r>
          </w:p>
        </w:tc>
        <w:tc>
          <w:tcPr>
            <w:tcW w:w="40" w:type="pct"/>
          </w:tcPr>
          <w:p>
            <w:pPr>
              <w:jc w:val="left"/>
            </w:pPr>
            <w:r>
              <w:rPr>
                <w:rFonts w:ascii="Arial"/>
                <w:sz w:val="24"/>
              </w:rPr>
              <w:t>Lot 1</w:t>
            </w:r>
          </w:p>
        </w:tc>
        <w:tc>
          <w:tcPr>
            <w:tcW w:w="25" w:type="pct"/>
          </w:tcPr>
          <w:p>
            <w:pPr>
              <w:jc w:val="center"/>
            </w:pPr>
            <w:r>
              <w:rPr>
                <w:rFonts w:ascii="Arial"/>
                <w:sz w:val="24"/>
              </w:rPr>
              <w:t>2,525.00</w:t>
            </w:r>
          </w:p>
        </w:tc>
        <w:tc>
          <w:tcPr>
            <w:tcW w:w="25" w:type="pct"/>
          </w:tcPr>
          <w:p>
            <w:pPr>
              <w:jc w:val="center"/>
            </w:pPr>
            <w:r>
              <w:rPr>
                <w:rFonts w:ascii="Arial"/>
                <w:sz w:val="24"/>
              </w:rPr>
              <w:t>757.50</w:t>
            </w:r>
          </w:p>
        </w:tc>
      </w:tr>
      <w:tr>
        <w:tc>
          <w:tcPr>
            <w:tcW w:w="10" w:type="pct"/>
          </w:tcPr>
          <w:p>
            <w:pPr>
              <w:jc w:val="center"/>
            </w:pPr>
            <w:r>
              <w:rPr>
                <w:rFonts w:ascii="Arial"/>
                <w:sz w:val="24"/>
              </w:rPr>
              <w:t>2</w:t>
            </w:r>
          </w:p>
        </w:tc>
        <w:tc>
          <w:tcPr>
            <w:tcW w:w="40" w:type="pct"/>
          </w:tcPr>
          <w:p>
            <w:pPr>
              <w:jc w:val="left"/>
            </w:pPr>
            <w:r>
              <w:rPr>
                <w:rFonts w:ascii="Arial"/>
                <w:sz w:val="24"/>
              </w:rPr>
              <w:t>Lot 2</w:t>
            </w:r>
          </w:p>
        </w:tc>
        <w:tc>
          <w:tcPr>
            <w:tcW w:w="25" w:type="pct"/>
          </w:tcPr>
          <w:p>
            <w:pPr>
              <w:jc w:val="center"/>
            </w:pPr>
            <w:r>
              <w:rPr>
                <w:rFonts w:ascii="Arial"/>
                <w:sz w:val="24"/>
              </w:rPr>
              <w:t>4,863.33</w:t>
            </w:r>
          </w:p>
        </w:tc>
        <w:tc>
          <w:tcPr>
            <w:tcW w:w="25" w:type="pct"/>
          </w:tcPr>
          <w:p>
            <w:pPr>
              <w:jc w:val="center"/>
            </w:pPr>
            <w:r>
              <w:rPr>
                <w:rFonts w:ascii="Arial"/>
                <w:sz w:val="24"/>
              </w:rPr>
              <w:t>1,459.00</w:t>
            </w:r>
          </w:p>
        </w:tc>
      </w:tr>
      <w:tr>
        <w:tc>
          <w:tcPr>
            <w:tcW w:w="10" w:type="pct"/>
          </w:tcPr>
          <w:p>
            <w:pPr>
              <w:jc w:val="center"/>
            </w:pPr>
            <w:r>
              <w:rPr>
                <w:rFonts w:ascii="Arial"/>
                <w:sz w:val="24"/>
              </w:rPr>
              <w:t>3</w:t>
            </w:r>
          </w:p>
        </w:tc>
        <w:tc>
          <w:tcPr>
            <w:tcW w:w="40" w:type="pct"/>
          </w:tcPr>
          <w:p>
            <w:pPr>
              <w:jc w:val="left"/>
            </w:pPr>
            <w:r>
              <w:rPr>
                <w:rFonts w:ascii="Arial"/>
                <w:sz w:val="24"/>
                <w:b/>
              </w:rPr>
              <w:t>TOTAL FOR ALL LOTS</w:t>
            </w:r>
          </w:p>
        </w:tc>
        <w:tc>
          <w:tcPr>
            <w:tcW w:w="25" w:type="pct"/>
          </w:tcPr>
          <w:p>
            <w:pPr>
              <w:jc w:val="center"/>
            </w:pPr>
            <w:r>
              <w:rPr>
                <w:rFonts w:ascii="Arial"/>
                <w:sz w:val="24"/>
                <w:b/>
              </w:rPr>
              <w:t>7,388.33</w:t>
            </w:r>
          </w:p>
        </w:tc>
        <w:tc>
          <w:tcPr>
            <w:tcW w:w="25" w:type="pct"/>
          </w:tcPr>
          <w:p>
            <w:pPr>
              <w:jc w:val="center"/>
            </w:pPr>
            <w:r>
              <w:rPr>
                <w:rFonts w:ascii="Arial"/>
                <w:sz w:val="24"/>
                <w:b/>
              </w:rPr>
              <w:t>2,216.50</w:t>
            </w:r>
          </w:p>
        </w:tc>
      </w:tr>
    </w:tbl>
    <w:p>
      <w:pPr>
        <w:jc w:val="left"/>
      </w:pPr>
      <w:r>
        <w:rPr>
          <w:rFonts w:ascii="Arial"/>
          <w:sz w:val="24"/>
        </w:rPr>
        <w:t>Bidder can quote for any one or more than one LOT based on their capability/choice.</w:t>
      </w:r>
    </w:p>
    <w:p>
      <w:pPr>
        <w:jc w:val="left"/>
      </w:pPr>
      <w:r>
        <w:rPr>
          <w:rFonts w:ascii="Arial"/>
          <w:sz w:val="24"/>
        </w:rPr>
        <w:t>Note: If the Bidder quotes for more than one LOT, the average value of Turnover should not be less than the cumulative amount applicable for the LOTs quoted.</w:t>
      </w:r>
    </w:p>
    <w:p>
      <w:r>
        <w:t/>
      </w:r>
    </w:p>
    <w:p>
      <w:pPr>
        <w:jc w:val="left"/>
      </w:pPr>
      <w:r>
        <w:rPr>
          <w:rFonts w:ascii="Arial"/>
          <w:sz w:val="24"/>
          <w:b/>
        </w:rPr>
        <w:t>3.2.2 NET WORTH</w:t>
      </w:r>
    </w:p>
    <w:p>
      <w:pPr>
        <w:jc w:val="left"/>
      </w:pPr>
      <w:r>
        <w:rPr>
          <w:rFonts w:ascii="Arial"/>
          <w:sz w:val="24"/>
        </w:rPr>
        <w:t>The bidder should have positive net worth as per the latest audited financial statement.</w:t>
      </w:r>
    </w:p>
    <w:p>
      <w:r>
        <w:rPr>
          <w:rFonts w:ascii="Arial"/>
          <w:sz w:val="24"/>
        </w:rPr>
        <w:t xml:space="preserve">Financial capacity should be demonstrated by audited statements.</w:t>
      </w:r>
    </w:p>
    <w:p>
      <w:r>
        <w:t/>
      </w:r>
    </w:p>
    <w:p>
      <w:pPr>
        <w:jc w:val="left"/>
      </w:pPr>
      <w:r>
        <w:rPr>
          <w:rFonts w:ascii="Arial"/>
          <w:sz w:val="24"/>
          <w:b/>
        </w:rPr>
        <w:t>3.3 BIDS MAY BE SUBMITTED BY</w:t>
      </w:r>
    </w:p>
    <w:p>
      <w:pPr>
        <w:jc w:val="left"/>
      </w:pPr>
      <w:r>
        <w:rPr>
          <w:rFonts w:ascii="Arial"/>
          <w:sz w:val="24"/>
        </w:rPr>
        <w:t>3.3.1 An entity (domestic bidder) should have completed 3 financial years of existence as on original due date of tender since date of commencement of business and shall fulfil each BQC eligibility criteria as mentioned above.</w:t>
      </w:r>
    </w:p>
    <w:p>
      <w:pPr>
        <w:jc w:val="left"/>
      </w:pPr>
      <w:r>
        <w:rPr>
          <w:rFonts w:ascii="Arial"/>
          <w:sz w:val="24"/>
        </w:rPr>
        <w:t>3.3.2 JV/Consortium bids will not be accepted (i.e. Qualification on the strength of the JV Partners/Consortium Members /Subsidiaries / Group members will not be accepted)</w:t>
      </w:r>
    </w:p>
    <w:p>
      <w:r>
        <w:t/>
      </w:r>
    </w:p>
    <w:p>
      <w:r>
        <w:t/>
      </w:r>
    </w:p>
    <w:p>
      <w:pPr>
        <w:jc w:val="left"/>
      </w:pPr>
      <w:r>
        <w:rPr>
          <w:rFonts w:ascii="Arial"/>
          <w:sz w:val="24"/>
          <w:b/>
        </w:rPr>
        <w:t>4. EVALUATION METHODOLOGY</w:t>
      </w:r>
    </w:p>
    <w:p>
      <w:pPr>
        <w:jc w:val="left"/>
      </w:pPr>
      <w:r>
        <w:rPr>
          <w:rFonts w:ascii="Arial"/>
          <w:sz w:val="24"/>
        </w:rPr>
        <w:t>The tender will be invited through Open tender (Domestic) as two-part bid. The bid qualification evaluation of the received bids will be done as per the above bid qualification criteria and the technical bid of the shortlisted bidders will be evaluated subsequently. The price bids of the bidders who qualify BQC criteria &amp; meet Technical / Commercial requirements of the tender will only be opened and evaluated.</w:t>
      </w:r>
    </w:p>
    <w:p>
      <w:pPr>
        <w:jc w:val="left"/>
      </w:pPr>
      <w:r>
        <w:rPr>
          <w:rFonts w:ascii="Arial"/>
          <w:sz w:val="24"/>
        </w:rPr>
        <w:t>The Commercial Evaluation shall be done on L1, L2.</w:t>
      </w:r>
    </w:p>
    <w:p>
      <w:pPr>
        <w:jc w:val="left"/>
      </w:pPr>
      <w:r>
        <w:rPr>
          <w:rFonts w:ascii="Arial"/>
          <w:sz w:val="24"/>
        </w:rPr>
        <w:t>The order will be placed based on above methodology AND Purchase preference based on MSE/ PPP-MII Policy.</w:t>
      </w:r>
    </w:p>
    <w:p>
      <w:pPr>
        <w:jc w:val="left"/>
      </w:pPr>
      <w:r>
        <w:rPr>
          <w:rFonts w:ascii="Arial"/>
          <w:sz w:val="24"/>
        </w:rPr>
        <w:t>The subject job is Divisible.</w:t>
      </w:r>
    </w:p>
    <w:p>
      <w:r>
        <w:t/>
      </w:r>
    </w:p>
    <w:p>
      <w:r>
        <w:t/>
      </w:r>
    </w:p>
    <w:p>
      <w:pPr>
        <w:jc w:val="left"/>
      </w:pPr>
      <w:r>
        <w:rPr>
          <w:rFonts w:ascii="Arial"/>
          <w:sz w:val="24"/>
          <w:b/>
        </w:rPr>
        <w:t>5. EARNEST MONEY DEPOSIT (EMD)</w:t>
      </w:r>
    </w:p>
    <w:p>
      <w:pPr>
        <w:jc w:val="left"/>
      </w:pPr>
      <w:r>
        <w:rPr>
          <w:rFonts w:ascii="Arial"/>
          <w:sz w:val="24"/>
        </w:rPr>
        <w:t>Bidders are required to provide Earnest Money Deposit as per below table (LOT-WISE):</w:t>
      </w:r>
    </w:p>
    <w:tbl>
      <w:tblPr>
        <w:tblW w:w="100" w:type="pct"/>
        <w:tblBorders>
          <w:top w:val="single" w:sz="4"/>
          <w:bottom w:val="single" w:sz="4"/>
          <w:left w:val="single" w:sz="4"/>
          <w:right w:val="single" w:sz="4"/>
          <w:insideH w:val="single" w:sz="4"/>
          <w:insideV w:val="single" w:sz="4"/>
        </w:tblBorders>
      </w:tblPr>
      <w:tr>
        <w:tc>
          <w:tcPr>
            <w:tcW w:w="10" w:type="pct"/>
          </w:tcPr>
          <w:p>
            <w:pPr>
              <w:jc w:val="center"/>
            </w:pPr>
            <w:r>
              <w:rPr>
                <w:rFonts w:ascii="Arial"/>
                <w:sz w:val="24"/>
                <w:b/>
              </w:rPr>
              <w:t>Sr. No.</w:t>
            </w:r>
          </w:p>
        </w:tc>
        <w:tc>
          <w:tcPr>
            <w:tcW w:w="40" w:type="pct"/>
          </w:tcPr>
          <w:p>
            <w:pPr>
              <w:jc w:val="center"/>
            </w:pPr>
            <w:r>
              <w:rPr>
                <w:rFonts w:ascii="Arial"/>
                <w:sz w:val="24"/>
                <w:b/>
              </w:rPr>
              <w:t>Section / Description</w:t>
            </w:r>
          </w:p>
        </w:tc>
        <w:tc>
          <w:tcPr>
            <w:tcW w:w="25" w:type="pct"/>
          </w:tcPr>
          <w:p>
            <w:pPr>
              <w:jc w:val="center"/>
            </w:pPr>
            <w:r>
              <w:rPr>
                <w:rFonts w:ascii="Arial"/>
                <w:sz w:val="24"/>
                <w:b/>
              </w:rPr>
              <w:t>CEC Estimate (Lakhs)</w:t>
            </w:r>
          </w:p>
        </w:tc>
        <w:tc>
          <w:tcPr>
            <w:tcW w:w="25" w:type="pct"/>
          </w:tcPr>
          <w:p>
            <w:pPr>
              <w:jc w:val="center"/>
            </w:pPr>
            <w:r>
              <w:rPr>
                <w:rFonts w:ascii="Arial"/>
                <w:sz w:val="24"/>
                <w:b/>
              </w:rPr>
              <w:t>EMD Amount (Lakhs)</w:t>
            </w:r>
          </w:p>
        </w:tc>
      </w:tr>
      <w:tr>
        <w:tc>
          <w:tcPr>
            <w:tcW w:w="10" w:type="pct"/>
          </w:tcPr>
          <w:p>
            <w:pPr>
              <w:jc w:val="center"/>
            </w:pPr>
            <w:r>
              <w:rPr>
                <w:rFonts w:ascii="Arial"/>
                <w:sz w:val="24"/>
              </w:rPr>
              <w:t>1</w:t>
            </w:r>
          </w:p>
        </w:tc>
        <w:tc>
          <w:tcPr>
            <w:tcW w:w="40" w:type="pct"/>
          </w:tcPr>
          <w:p>
            <w:pPr>
              <w:jc w:val="left"/>
            </w:pPr>
            <w:r>
              <w:rPr>
                <w:rFonts w:ascii="Arial"/>
                <w:sz w:val="24"/>
              </w:rPr>
              <w:t>Lot 1</w:t>
            </w:r>
          </w:p>
        </w:tc>
        <w:tc>
          <w:tcPr>
            <w:tcW w:w="25" w:type="pct"/>
          </w:tcPr>
          <w:p>
            <w:pPr>
              <w:jc w:val="center"/>
            </w:pPr>
            <w:r>
              <w:rPr>
                <w:rFonts w:ascii="Arial"/>
                <w:sz w:val="24"/>
              </w:rPr>
              <w:t>5,050.00</w:t>
            </w:r>
          </w:p>
        </w:tc>
        <w:tc>
          <w:tcPr>
            <w:tcW w:w="25" w:type="pct"/>
          </w:tcPr>
          <w:p>
            <w:pPr>
              <w:jc w:val="center"/>
            </w:pPr>
            <w:r>
              <w:rPr>
                <w:rFonts w:ascii="Arial"/>
                <w:sz w:val="24"/>
              </w:rPr>
              <w:t>20</w:t>
            </w:r>
          </w:p>
        </w:tc>
      </w:tr>
      <w:tr>
        <w:tc>
          <w:tcPr>
            <w:tcW w:w="10" w:type="pct"/>
          </w:tcPr>
          <w:p>
            <w:pPr>
              <w:jc w:val="center"/>
            </w:pPr>
            <w:r>
              <w:rPr>
                <w:rFonts w:ascii="Arial"/>
                <w:sz w:val="24"/>
              </w:rPr>
              <w:t>2</w:t>
            </w:r>
          </w:p>
        </w:tc>
        <w:tc>
          <w:tcPr>
            <w:tcW w:w="40" w:type="pct"/>
          </w:tcPr>
          <w:p>
            <w:pPr>
              <w:jc w:val="left"/>
            </w:pPr>
            <w:r>
              <w:rPr>
                <w:rFonts w:ascii="Arial"/>
                <w:sz w:val="24"/>
              </w:rPr>
              <w:t>Lot 2</w:t>
            </w:r>
          </w:p>
        </w:tc>
        <w:tc>
          <w:tcPr>
            <w:tcW w:w="25" w:type="pct"/>
          </w:tcPr>
          <w:p>
            <w:pPr>
              <w:jc w:val="center"/>
            </w:pPr>
            <w:r>
              <w:rPr>
                <w:rFonts w:ascii="Arial"/>
                <w:sz w:val="24"/>
              </w:rPr>
              <w:t>7,295.00</w:t>
            </w:r>
          </w:p>
        </w:tc>
        <w:tc>
          <w:tcPr>
            <w:tcW w:w="25" w:type="pct"/>
          </w:tcPr>
          <w:p>
            <w:pPr>
              <w:jc w:val="center"/>
            </w:pPr>
            <w:r>
              <w:rPr>
                <w:rFonts w:ascii="Arial"/>
                <w:sz w:val="24"/>
              </w:rPr>
              <w:t>20</w:t>
            </w:r>
          </w:p>
        </w:tc>
      </w:tr>
      <w:tr>
        <w:tc>
          <w:tcPr>
            <w:tcW w:w="10" w:type="pct"/>
          </w:tcPr>
          <w:p>
            <w:pPr>
              <w:jc w:val="center"/>
            </w:pPr>
            <w:r>
              <w:rPr>
                <w:rFonts w:ascii="Arial"/>
                <w:sz w:val="24"/>
              </w:rPr>
              <w:t>3</w:t>
            </w:r>
          </w:p>
        </w:tc>
        <w:tc>
          <w:tcPr>
            <w:tcW w:w="40" w:type="pct"/>
          </w:tcPr>
          <w:p>
            <w:pPr>
              <w:jc w:val="left"/>
            </w:pPr>
            <w:r>
              <w:rPr>
                <w:rFonts w:ascii="Arial"/>
                <w:sz w:val="24"/>
                <w:b/>
              </w:rPr>
              <w:t>TOTAL FOR ALL LOTS</w:t>
            </w:r>
          </w:p>
        </w:tc>
        <w:tc>
          <w:tcPr>
            <w:tcW w:w="25" w:type="pct"/>
          </w:tcPr>
          <w:p>
            <w:pPr>
              <w:jc w:val="center"/>
            </w:pPr>
            <w:r>
              <w:rPr>
                <w:rFonts w:ascii="Arial"/>
                <w:sz w:val="24"/>
                <w:b/>
              </w:rPr>
              <w:t>12,345.00</w:t>
            </w:r>
          </w:p>
        </w:tc>
        <w:tc>
          <w:tcPr>
            <w:tcW w:w="25" w:type="pct"/>
          </w:tcPr>
          <w:p>
            <w:pPr>
              <w:jc w:val="center"/>
            </w:pPr>
            <w:r>
              <w:rPr>
                <w:rFonts w:ascii="Arial"/>
                <w:sz w:val="24"/>
                <w:b/>
              </w:rPr>
              <w:t>40</w:t>
            </w:r>
          </w:p>
        </w:tc>
      </w:tr>
    </w:tbl>
    <w:p>
      <w:pPr>
        <w:jc w:val="left"/>
      </w:pPr>
      <w:r>
        <w:rPr>
          <w:rFonts w:ascii="Arial"/>
          <w:sz w:val="24"/>
        </w:rPr>
        <w:t>Bidder can quote for any one or more than one LOT based on their capability/choice.</w:t>
      </w:r>
    </w:p>
    <w:p>
      <w:pPr>
        <w:jc w:val="left"/>
      </w:pPr>
      <w:r>
        <w:rPr>
          <w:rFonts w:ascii="Arial"/>
          <w:sz w:val="24"/>
        </w:rPr>
        <w:t>Note: If the Bidder quotes for more than one LOT, the EMD amount should not be less than the cumulative amount applicable for the LOTs quoted.</w:t>
      </w:r>
    </w:p>
    <w:p>
      <w:pPr>
        <w:jc w:val="left"/>
      </w:pPr>
      <w:r>
        <w:rPr>
          <w:rFonts w:ascii="Arial"/>
          <w:sz w:val="24"/>
        </w:rPr>
        <w:t>EMD exemption shall be as per General Terms &amp; Conditions of GeM (applicable for GeM tenders)/ MSE policy</w:t>
      </w:r>
    </w:p>
    <w:p>
      <w:r>
        <w:rPr>
          <w:rFonts w:ascii="Arial"/>
          <w:sz w:val="24"/>
        </w:rPr>
        <w:t xml:space="preserve">EMD shall be submitted as per clause 5.</w:t>
      </w:r>
    </w:p>
    <w:p>
      <w:r>
        <w:t/>
      </w:r>
    </w:p>
    <w:p>
      <w:r>
        <w:t/>
      </w:r>
    </w:p>
    <w:p>
      <w:pPr>
        <w:jc w:val="left"/>
      </w:pPr>
      <w:r>
        <w:rPr>
          <w:rFonts w:ascii="Arial"/>
          <w:sz w:val="24"/>
          <w:b/>
        </w:rPr>
        <w:t>6. Performance Security (if at variance with the ITB clause):</w:t>
      </w:r>
    </w:p>
    <w:p>
      <w:pPr>
        <w:jc w:val="left"/>
      </w:pPr>
      <w:r>
        <w:rPr>
          <w:rFonts w:ascii="Arial"/>
          <w:sz w:val="24"/>
        </w:rPr>
        <w:t>Performance Security % other than Standard to be mentioned, approved by the competent authority: Standard</w:t>
      </w:r>
    </w:p>
    <w:p>
      <w:r>
        <w:t/>
      </w:r>
    </w:p>
    <w:p>
      <w:r>
        <w:t/>
      </w:r>
    </w:p>
    <w:p>
      <w:pPr>
        <w:jc w:val="left"/>
      </w:pPr>
      <w:r>
        <w:rPr>
          <w:rFonts w:ascii="Arial"/>
          <w:sz w:val="24"/>
          <w:b/>
        </w:rPr>
        <w:t>8. APPROVAL REQUIRED</w:t>
      </w:r>
    </w:p>
    <w:p>
      <w:pPr>
        <w:jc w:val="left"/>
      </w:pPr>
      <w:r>
        <w:rPr>
          <w:rFonts w:ascii="Arial"/>
          <w:sz w:val="24"/>
        </w:rPr>
        <w:t>In view of above, approval is requested for the supply of Supply and installation of test equipment with warranty and AMC/job Supply and installation of test equipment with warranty and AMC for</w:t>
      </w:r>
    </w:p>
    <w:p>
      <w:pPr>
        <w:jc w:val="left"/>
      </w:pPr>
      <w:r>
        <w:rPr>
          <w:rFonts w:ascii="Arial"/>
          <w:sz w:val="24"/>
        </w:rPr>
        <w:t>Bid Qualification Criteria as per Sr. No. 3, as per Clause 13.8 of Guidelines for procurement of Goods and Contract Services.</w:t>
      </w:r>
    </w:p>
    <w:p>
      <w:pPr>
        <w:jc w:val="left"/>
      </w:pPr>
      <w:r>
        <w:rPr>
          <w:rFonts w:ascii="Arial"/>
          <w:sz w:val="24"/>
        </w:rPr>
        <w:t>Inviting bids (two-part bid) through a Domestic Open Tender and adopting evaluation methodology as per Sr. No. 4 above.</w:t>
      </w:r>
    </w:p>
    <w:p>
      <w:pPr>
        <w:jc w:val="left"/>
      </w:pPr>
      <w:r>
        <w:rPr>
          <w:rFonts w:ascii="Arial"/>
          <w:sz w:val="24"/>
        </w:rPr>
        <w:t>Earnest Money Deposit as per Sr. No. 5 above./ Performance Security as per Sr. No. 6 (if applicable)</w:t>
      </w:r>
    </w:p>
    <w:p>
      <w:r>
        <w:t/>
      </w:r>
    </w:p>
    <w:p>
      <w:r>
        <w:t/>
      </w:r>
    </w:p>
    <w:p>
      <w:pPr>
        <w:jc w:val="center"/>
      </w:pPr>
      <w:r>
        <w:rPr>
          <w:rFonts w:ascii="Arial"/>
          <w:sz w:val="24"/>
          <w:b/>
        </w:rPr>
        <w:t>Proposed by</w:t>
      </w:r>
    </w:p>
    <w:p>
      <w:pPr>
        <w:jc w:val="center"/>
      </w:pPr>
      <w:r>
        <w:rPr>
          <w:rFonts w:ascii="Arial"/>
          <w:sz w:val="24"/>
        </w:rPr>
        <w:t>John Doe, Procurement Manager</w:t>
      </w:r>
    </w:p>
    <w:p>
      <w:r>
        <w:t/>
      </w:r>
    </w:p>
    <w:p>
      <w:r>
        <w:t/>
      </w:r>
    </w:p>
    <w:p>
      <w:pPr>
        <w:jc w:val="center"/>
      </w:pPr>
      <w:r>
        <w:rPr>
          <w:rFonts w:ascii="Arial"/>
          <w:sz w:val="24"/>
          <w:b/>
        </w:rPr>
        <w:t>Recommended by</w:t>
      </w:r>
    </w:p>
    <w:p>
      <w:pPr>
        <w:jc w:val="center"/>
      </w:pPr>
      <w:r>
        <w:rPr>
          <w:rFonts w:ascii="Arial"/>
          <w:sz w:val="24"/>
        </w:rPr>
        <w:t>Jane Smith, Procurement Leader</w:t>
      </w:r>
    </w:p>
    <w:p>
      <w:r>
        <w:t/>
      </w:r>
    </w:p>
    <w:p>
      <w:r>
        <w:t/>
      </w:r>
    </w:p>
    <w:p>
      <w:pPr>
        <w:jc w:val="center"/>
      </w:pPr>
      <w:r>
        <w:rPr>
          <w:rFonts w:ascii="Arial"/>
          <w:sz w:val="24"/>
          <w:b/>
        </w:rPr>
        <w:t>Concurred by</w:t>
      </w:r>
    </w:p>
    <w:p>
      <w:pPr>
        <w:jc w:val="center"/>
      </w:pPr>
      <w:r>
        <w:rPr>
          <w:rFonts w:ascii="Arial"/>
          <w:sz w:val="24"/>
        </w:rPr>
        <w:t>Rajesh J., General Manager Finance</w:t>
      </w:r>
    </w:p>
    <w:p>
      <w:r>
        <w:t/>
      </w:r>
    </w:p>
    <w:p>
      <w:r>
        <w:t/>
      </w:r>
    </w:p>
    <w:p>
      <w:pPr>
        <w:jc w:val="center"/>
      </w:pPr>
      <w:r>
        <w:rPr>
          <w:rFonts w:ascii="Arial"/>
          <w:sz w:val="24"/>
          <w:b/>
        </w:rPr>
        <w:t>Approved by</w:t>
      </w:r>
    </w:p>
    <w:p>
      <w:pPr>
        <w:jc w:val="center"/>
      </w:pPr>
      <w:r>
        <w:rPr>
          <w:rFonts w:ascii="Arial"/>
          <w:sz w:val="24"/>
        </w:rPr>
        <w:t>Kani Amudhan N., Chief Procurement Officer</w:t>
      </w:r>
    </w:p>
  </w:body>
</w:document>
</file>