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5e78b5dcf794603" /></Relationships>
</file>

<file path=word/document.xml><?xml version="1.0" encoding="utf-8"?>
<w:document xmlns:w="http://schemas.openxmlformats.org/wordprocessingml/2006/main">
  <w:body>
    <w:tbl>
      <w:tblPr>
        <w:tblW w:w="100" w:type="pct"/>
        <w:tblBorders>
          <w:top w:val="single" w:sz="4"/>
          <w:bottom w:val="single" w:sz="4"/>
          <w:left w:val="single" w:sz="4"/>
          <w:right w:val="single" w:sz="4"/>
        </w:tblBorders>
      </w:tblPr>
      <w:tr>
        <w:tc>
          <w:tcPr>
            <w:tcW w:w="50" w:type="pct"/>
          </w:tcPr>
          <w:p>
            <w:pPr>
              <w:jc w:val="left"/>
            </w:pPr>
            <w:r>
              <w:rPr>
                <w:b/>
                <w:rFonts w:ascii="Arial"/>
                <w:sz w:val="24"/>
              </w:rPr>
              <w:t>Ref: TEST123</w:t>
            </w:r>
          </w:p>
        </w:tc>
        <w:tc>
          <w:tcPr>
            <w:tcW w:w="50" w:type="pct"/>
          </w:tcPr>
          <w:p>
            <w:pPr>
              <w:jc w:val="right"/>
            </w:pPr>
            <w:r>
              <w:rPr>
                <w:b/>
                <w:rFonts w:ascii="Arial"/>
                <w:sz w:val="24"/>
              </w:rPr>
              <w:t>Date: 01-01-2026</w:t>
            </w:r>
          </w:p>
        </w:tc>
      </w:tr>
    </w:tbl>
    <w:tbl>
      <w:tblPr>
        <w:tblW w:w="100" w:type="pct"/>
        <w:tblBorders>
          <w:top w:val="single" w:sz="4"/>
          <w:bottom w:val="single" w:sz="4"/>
          <w:left w:val="single" w:sz="4"/>
          <w:right w:val="single" w:sz="4"/>
        </w:tblBorders>
      </w:tblPr>
      <w:tr>
        <w:tc>
          <w:tcPr>
            <w:tcW w:w="20" w:type="pct"/>
          </w:tcPr>
          <w:p>
            <w:pPr>
              <w:jc w:val="left"/>
            </w:pPr>
            <w:r>
              <w:rPr>
                <w:b/>
                <w:rFonts w:ascii="Arial"/>
                <w:sz w:val="24"/>
              </w:rPr>
              <w:t>NOTE TO:</w:t>
            </w:r>
          </w:p>
        </w:tc>
        <w:tc>
          <w:tcPr>
            <w:tcW w:w="80" w:type="pct"/>
          </w:tcPr>
          <w:p>
            <w:pPr>
              <w:jc w:val="left"/>
            </w:pPr>
            <w:r>
              <w:rPr>
                <w:b/>
                <w:rFonts w:ascii="Arial"/>
                <w:sz w:val="24"/>
              </w:rPr>
              <w:t>CHIEF PROCUREMENT OFFICER, CPO (M)</w:t>
            </w:r>
          </w:p>
        </w:tc>
      </w:tr>
    </w:tbl>
    <w:tbl>
      <w:tblPr>
        <w:tblW w:w="100" w:type="pct"/>
        <w:tblBorders>
          <w:top w:val="single" w:sz="4"/>
          <w:bottom w:val="single" w:sz="4"/>
          <w:left w:val="single" w:sz="4"/>
          <w:right w:val="single" w:sz="4"/>
        </w:tblBorders>
      </w:tblPr>
      <w:tr>
        <w:tc>
          <w:tcPr>
            <w:tcW w:w="20" w:type="pct"/>
          </w:tcPr>
          <w:p>
            <w:pPr>
              <w:jc w:val="left"/>
            </w:pPr>
            <w:r>
              <w:rPr>
                <w:b/>
                <w:rFonts w:ascii="Arial"/>
                <w:sz w:val="24"/>
              </w:rPr>
              <w:t>SUBJECT:</w:t>
            </w:r>
          </w:p>
        </w:tc>
        <w:tc>
          <w:tcPr>
            <w:tcW w:w="80" w:type="pct"/>
          </w:tcPr>
          <w:p>
            <w:pPr>
              <w:jc w:val="left"/>
            </w:pPr>
            <w:r>
              <w:rPr>
                <w:b/>
                <w:rFonts w:ascii="Arial"/>
                <w:sz w:val="24"/>
              </w:rPr>
              <w:t/>
            </w:r>
          </w:p>
        </w:tc>
      </w:tr>
    </w:tbl>
    <w:p>
      <w:r>
        <w:t/>
      </w:r>
    </w:p>
    <w:p>
      <w:pPr>
        <w:jc w:val="left"/>
      </w:pPr>
      <w:r>
        <w:rPr>
          <w:rFonts w:ascii="Arial"/>
          <w:sz w:val="24"/>
          <w:b/>
        </w:rPr>
        <w:t>1. PREAMBLE</w:t>
      </w:r>
    </w:p>
    <w:tbl>
      <w:tblPr>
        <w:tblW w:w="100" w:type="pct"/>
        <w:tblBorders>
          <w:top w:val="single" w:sz="4"/>
          <w:bottom w:val="single" w:sz="4"/>
          <w:left w:val="single" w:sz="4"/>
          <w:right w:val="single" w:sz="4"/>
          <w:insideH w:val="single" w:sz="4"/>
          <w:insideV w:val="single" w:sz="4"/>
        </w:tblBorders>
      </w:tblPr>
      <w:tr>
        <w:tc>
          <w:tcPr>
            <w:tcW w:w="30" w:type="pct"/>
          </w:tcPr>
          <w:p>
            <w:pPr>
              <w:jc w:val="left"/>
            </w:pPr>
            <w:r>
              <w:rPr>
                <w:rFonts w:ascii="Arial"/>
                <w:sz w:val="24"/>
                <w:b/>
              </w:rPr>
              <w:t>Tender Description</w:t>
            </w:r>
          </w:p>
        </w:tc>
        <w:tc>
          <w:tcPr>
            <w:tcW w:w="70" w:type="pct"/>
          </w:tcPr>
          <w:p>
            <w:pPr>
              <w:jc w:val="left"/>
            </w:pPr>
            <w:r>
              <w:rPr>
                <w:rFonts w:ascii="Arial"/>
                <w:sz w:val="24"/>
              </w:rPr>
              <w:t>Test Tender</w:t>
            </w:r>
          </w:p>
        </w:tc>
      </w:tr>
      <w:tr>
        <w:tc>
          <w:tcPr>
            <w:tcW w:w="30" w:type="pct"/>
          </w:tcPr>
          <w:p>
            <w:pPr>
              <w:jc w:val="left"/>
            </w:pPr>
            <w:r>
              <w:rPr>
                <w:rFonts w:ascii="Arial"/>
                <w:sz w:val="24"/>
                <w:b/>
              </w:rPr>
              <w:t>PR reference/ Email reference</w:t>
            </w:r>
          </w:p>
        </w:tc>
        <w:tc>
          <w:tcPr>
            <w:tcW w:w="70" w:type="pct"/>
          </w:tcPr>
          <w:p>
            <w:pPr>
              <w:jc w:val="left"/>
            </w:pPr>
            <w:r>
              <w:rPr>
                <w:rFonts w:ascii="Arial"/>
                <w:sz w:val="24"/>
              </w:rPr>
              <w:t>PR-001</w:t>
            </w:r>
          </w:p>
        </w:tc>
      </w:tr>
      <w:tr>
        <w:tc>
          <w:tcPr>
            <w:tcW w:w="30" w:type="pct"/>
          </w:tcPr>
          <w:p>
            <w:pPr>
              <w:jc w:val="left"/>
            </w:pPr>
            <w:r>
              <w:rPr>
                <w:rFonts w:ascii="Arial"/>
                <w:sz w:val="24"/>
                <w:b/>
              </w:rPr>
              <w:t>Type of Tender</w:t>
            </w:r>
          </w:p>
        </w:tc>
        <w:tc>
          <w:tcPr>
            <w:tcW w:w="70" w:type="pct"/>
          </w:tcPr>
          <w:p>
            <w:pPr>
              <w:jc w:val="left"/>
            </w:pPr>
            <w:r>
              <w:rPr>
                <w:rFonts w:ascii="Arial"/>
                <w:sz w:val="24"/>
              </w:rPr>
              <w:t>Goods</w:t>
            </w:r>
          </w:p>
        </w:tc>
      </w:tr>
      <w:tr>
        <w:tc>
          <w:tcPr>
            <w:tcW w:w="30" w:type="pct"/>
          </w:tcPr>
          <w:p>
            <w:pPr>
              <w:jc w:val="left"/>
            </w:pPr>
            <w:r>
              <w:rPr>
                <w:rFonts w:ascii="Arial"/>
                <w:sz w:val="24"/>
                <w:b/>
              </w:rPr>
              <w:t>CEC estimate (incl. of GST)/ Date</w:t>
            </w:r>
          </w:p>
        </w:tc>
        <w:tc>
          <w:tcPr>
            <w:tcW w:w="70" w:type="pct"/>
          </w:tcPr>
          <w:p>
            <w:pPr>
              <w:jc w:val="left"/>
            </w:pPr>
            <w:r>
              <w:rPr>
                <w:rFonts w:ascii="Arial"/>
                <w:sz w:val="24"/>
              </w:rPr>
              <w:t>₹ 1,23,00,000 / N/A</w:t>
            </w:r>
          </w:p>
        </w:tc>
      </w:tr>
      <w:tr>
        <w:tc>
          <w:tcPr>
            <w:tcW w:w="30" w:type="pct"/>
          </w:tcPr>
          <w:p>
            <w:pPr>
              <w:jc w:val="left"/>
            </w:pPr>
            <w:r>
              <w:rPr>
                <w:rFonts w:ascii="Arial"/>
                <w:sz w:val="24"/>
                <w:b/>
              </w:rPr>
              <w:t>CEC estimate exclusive of GST</w:t>
            </w:r>
          </w:p>
        </w:tc>
        <w:tc>
          <w:tcPr>
            <w:tcW w:w="70" w:type="pct"/>
          </w:tcPr>
          <w:p>
            <w:pPr>
              <w:jc w:val="left"/>
            </w:pPr>
            <w:r>
              <w:rPr>
                <w:rFonts w:ascii="Arial"/>
                <w:sz w:val="24"/>
              </w:rPr>
              <w:t>₹ 1,00,00,000</w:t>
            </w:r>
          </w:p>
        </w:tc>
      </w:tr>
      <w:tr>
        <w:tc>
          <w:tcPr>
            <w:tcW w:w="30" w:type="pct"/>
          </w:tcPr>
          <w:p>
            <w:pPr>
              <w:jc w:val="left"/>
            </w:pPr>
            <w:r>
              <w:rPr>
                <w:rFonts w:ascii="Arial"/>
                <w:sz w:val="24"/>
                <w:b/>
              </w:rPr>
              <w:t>Budget Details (WBS/ Revex)</w:t>
            </w:r>
          </w:p>
        </w:tc>
        <w:tc>
          <w:tcPr>
            <w:tcW w:w="70" w:type="pct"/>
          </w:tcPr>
          <w:p>
            <w:pPr>
              <w:jc w:val="left"/>
            </w:pPr>
            <w:r>
              <w:rPr>
                <w:rFonts w:ascii="Arial"/>
                <w:sz w:val="24"/>
              </w:rPr>
              <w:t/>
            </w:r>
          </w:p>
        </w:tc>
      </w:tr>
      <w:tr>
        <w:tc>
          <w:tcPr>
            <w:tcW w:w="30" w:type="pct"/>
          </w:tcPr>
          <w:p>
            <w:pPr>
              <w:jc w:val="left"/>
            </w:pPr>
            <w:r>
              <w:rPr>
                <w:rFonts w:ascii="Arial"/>
                <w:sz w:val="24"/>
                <w:b/>
              </w:rPr>
              <w:t>Tender Platform</w:t>
            </w:r>
          </w:p>
        </w:tc>
        <w:tc>
          <w:tcPr>
            <w:tcW w:w="70" w:type="pct"/>
          </w:tcPr>
          <w:p>
            <w:pPr>
              <w:jc w:val="left"/>
            </w:pPr>
            <w:r>
              <w:rPr>
                <w:rFonts w:ascii="Arial"/>
                <w:sz w:val="24"/>
              </w:rPr>
              <w:t>GeM</w:t>
            </w:r>
          </w:p>
        </w:tc>
      </w:tr>
    </w:tbl>
    <w:p>
      <w:r>
        <w:t/>
      </w:r>
    </w:p>
    <w:p>
      <w:pPr>
        <w:jc w:val="left"/>
      </w:pPr>
      <w:r>
        <w:rPr>
          <w:rFonts w:ascii="Arial"/>
          <w:sz w:val="24"/>
          <w:b/>
        </w:rPr>
        <w:t>BRIEF SCOPE OF WORK</w:t>
      </w:r>
    </w:p>
    <w:tbl>
      <w:tblPr>
        <w:tblW w:w="100" w:type="pct"/>
        <w:tblBorders>
          <w:top w:val="single" w:sz="4"/>
          <w:bottom w:val="single" w:sz="4"/>
          <w:left w:val="single" w:sz="4"/>
          <w:right w:val="single" w:sz="4"/>
          <w:insideH w:val="single" w:sz="4"/>
          <w:insideV w:val="single" w:sz="4"/>
        </w:tblBorders>
      </w:tblPr>
      <w:tr>
        <w:tc>
          <w:tcPr>
            <w:tcW w:w="30" w:type="pct"/>
          </w:tcPr>
          <w:p>
            <w:pPr>
              <w:jc w:val="left"/>
            </w:pPr>
            <w:r>
              <w:rPr>
                <w:rFonts w:ascii="Arial"/>
                <w:sz w:val="24"/>
                <w:b/>
              </w:rPr>
              <w:t>Brief Scope of Work / Supply Items</w:t>
            </w:r>
          </w:p>
        </w:tc>
        <w:tc>
          <w:tcPr>
            <w:tcW w:w="70" w:type="pct"/>
          </w:tcPr>
          <w:p>
            <w:pPr>
              <w:jc w:val="left"/>
            </w:pPr>
            <w:r>
              <w:rPr>
                <w:rFonts w:ascii="Arial"/>
                <w:sz w:val="24"/>
              </w:rPr>
              <w:t>Test Tender</w:t>
            </w:r>
          </w:p>
        </w:tc>
      </w:tr>
      <w:tr>
        <w:tc>
          <w:tcPr>
            <w:tcW w:w="30" w:type="pct"/>
          </w:tcPr>
          <w:p>
            <w:pPr>
              <w:jc w:val="left"/>
            </w:pPr>
            <w:r>
              <w:rPr>
                <w:rFonts w:ascii="Arial"/>
                <w:sz w:val="24"/>
                <w:b/>
              </w:rPr>
              <w:t>Contract Period /Completion Period</w:t>
            </w:r>
          </w:p>
        </w:tc>
        <w:tc>
          <w:tcPr>
            <w:tcW w:w="70" w:type="pct"/>
          </w:tcPr>
          <w:p>
            <w:pPr>
              <w:jc w:val="left"/>
            </w:pPr>
            <w:r>
              <w:rPr>
                <w:rFonts w:ascii="Arial"/>
                <w:sz w:val="24"/>
              </w:rPr>
              <w:t>12 months</w:t>
            </w:r>
          </w:p>
        </w:tc>
      </w:tr>
      <w:tr>
        <w:tc>
          <w:tcPr>
            <w:tcW w:w="30" w:type="pct"/>
          </w:tcPr>
          <w:p>
            <w:pPr>
              <w:jc w:val="left"/>
            </w:pPr>
            <w:r>
              <w:rPr>
                <w:rFonts w:ascii="Arial"/>
                <w:sz w:val="24"/>
                <w:b/>
              </w:rPr>
              <w:t>Delivery Period of the Item</w:t>
            </w:r>
          </w:p>
        </w:tc>
        <w:tc>
          <w:tcPr>
            <w:tcW w:w="70" w:type="pct"/>
          </w:tcPr>
          <w:p>
            <w:pPr>
              <w:jc w:val="left"/>
            </w:pPr>
            <w:r>
              <w:rPr>
                <w:rFonts w:ascii="Arial"/>
                <w:sz w:val="24"/>
              </w:rPr>
              <w:t/>
            </w:r>
          </w:p>
        </w:tc>
      </w:tr>
      <w:tr>
        <w:tc>
          <w:tcPr>
            <w:tcW w:w="30" w:type="pct"/>
          </w:tcPr>
          <w:p>
            <w:pPr>
              <w:jc w:val="left"/>
            </w:pPr>
            <w:r>
              <w:rPr>
                <w:rFonts w:ascii="Arial"/>
                <w:sz w:val="24"/>
                <w:b/>
              </w:rPr>
              <w:t>Warranty Period</w:t>
            </w:r>
          </w:p>
        </w:tc>
        <w:tc>
          <w:tcPr>
            <w:tcW w:w="70" w:type="pct"/>
          </w:tcPr>
          <w:p>
            <w:pPr>
              <w:jc w:val="left"/>
            </w:pPr>
            <w:r>
              <w:rPr>
                <w:rFonts w:ascii="Arial"/>
                <w:sz w:val="24"/>
              </w:rPr>
              <w:t/>
            </w:r>
          </w:p>
        </w:tc>
      </w:tr>
      <w:tr>
        <w:tc>
          <w:tcPr>
            <w:tcW w:w="30" w:type="pct"/>
          </w:tcPr>
          <w:p>
            <w:pPr>
              <w:jc w:val="left"/>
            </w:pPr>
            <w:r>
              <w:rPr>
                <w:rFonts w:ascii="Arial"/>
                <w:sz w:val="24"/>
                <w:b/>
              </w:rPr>
              <w:t>Payment Terms (if different from standard terms i.e within 30 days)</w:t>
            </w:r>
          </w:p>
        </w:tc>
        <w:tc>
          <w:tcPr>
            <w:tcW w:w="70" w:type="pct"/>
          </w:tcPr>
          <w:p>
            <w:pPr>
              <w:jc w:val="left"/>
            </w:pPr>
            <w:r>
              <w:rPr>
                <w:rFonts w:ascii="Arial"/>
                <w:sz w:val="24"/>
              </w:rPr>
              <w:t/>
            </w:r>
          </w:p>
        </w:tc>
      </w:tr>
    </w:tbl>
    <w:p>
      <w:r>
        <w:t/>
      </w:r>
    </w:p>
    <w:p>
      <w:pPr>
        <w:jc w:val="left"/>
      </w:pPr>
      <w:r>
        <w:rPr>
          <w:rFonts w:ascii="Arial"/>
          <w:sz w:val="24"/>
          <w:b/>
        </w:rPr>
        <w:t>3. BID QUALIFICATION CRITERIA (BQC)</w:t>
      </w:r>
    </w:p>
    <w:p>
      <w:pPr>
        <w:jc w:val="left"/>
      </w:pPr>
      <w:r>
        <w:rPr>
          <w:rFonts w:ascii="Arial"/>
          <w:sz w:val="24"/>
        </w:rPr>
        <w:t>BPCL would like to qualify vendors for undertaking the above work as indicated in the brief scope. Detailed bid qualification criteria for short listing vendors shall be as follows:</w:t>
      </w:r>
    </w:p>
    <w:p>
      <w:r>
        <w:t/>
      </w:r>
    </w:p>
    <w:p>
      <w:pPr>
        <w:jc w:val="left"/>
      </w:pPr>
      <w:r>
        <w:rPr>
          <w:rFonts w:ascii="Arial"/>
          <w:sz w:val="24"/>
          <w:b/>
        </w:rPr>
        <w:t>3.1 TECHNICAL CRITERIA</w:t>
      </w:r>
    </w:p>
    <w:p>
      <w:r>
        <w:t/>
      </w:r>
    </w:p>
    <w:p>
      <w:pPr>
        <w:jc w:val="left"/>
      </w:pPr>
      <w:r>
        <w:rPr>
          <w:rFonts w:ascii="Arial"/>
          <w:sz w:val="24"/>
          <w:b/>
        </w:rPr>
        <w:t>3.1.1. For GOODS:</w:t>
      </w:r>
    </w:p>
    <w:p>
      <w:pPr>
        <w:jc w:val="left"/>
      </w:pPr>
      <w:r>
        <w:rPr>
          <w:rFonts w:ascii="Arial"/>
          <w:sz w:val="24"/>
          <w:b/>
        </w:rPr>
        <w:t>Manufacturing Capability:</w:t>
      </w:r>
    </w:p>
    <w:p>
      <w:pPr>
        <w:jc w:val="left"/>
      </w:pPr>
      <w:r>
        <w:rPr>
          <w:rFonts w:ascii="Arial"/>
          <w:sz w:val="24"/>
        </w:rPr>
        <w:t>Bidder* should be Original Equipment Manufacturer AND/OR Authorized Channel Partner AND/OR Authorized Agent AND/OR Dealer AND/OR Authorized Distributor of the item being tendered.</w:t>
      </w:r>
    </w:p>
    <w:p>
      <w:r>
        <w:t/>
      </w:r>
    </w:p>
    <w:p>
      <w:pPr>
        <w:jc w:val="left"/>
      </w:pPr>
      <w:r>
        <w:rPr>
          <w:rFonts w:ascii="Arial"/>
          <w:sz w:val="24"/>
          <w:b/>
        </w:rPr>
        <w:t>Supplying Capacity:</w:t>
      </w:r>
    </w:p>
    <w:p>
      <w:pPr>
        <w:jc w:val="left"/>
      </w:pPr>
      <w:r>
        <w:rPr>
          <w:rFonts w:ascii="Arial"/>
          <w:sz w:val="24"/>
          <w:b/>
        </w:rPr>
        <w:t>Non-MSE (Standard) Requirements:</w:t>
      </w:r>
    </w:p>
    <w:p>
      <w:pPr>
        <w:jc w:val="left"/>
      </w:pPr>
      <w:r>
        <w:rPr>
          <w:rFonts w:ascii="Arial"/>
          <w:sz w:val="24"/>
        </w:rPr>
        <w:t>The bidder shall have experience of having successfully supplied minimum of 0 in any 12 continuous months during last 7 years in India or abroad, ending on last day of the month previous to the one in which tender is invited.</w:t>
      </w:r>
    </w:p>
    <w:p>
      <w:r>
        <w:t/>
      </w:r>
    </w:p>
    <w:p>
      <w:r>
        <w:t/>
      </w:r>
    </w:p>
    <w:p>
      <w:r>
        <w:t/>
      </w:r>
    </w:p>
    <w:p>
      <w:pPr>
        <w:jc w:val="left"/>
      </w:pPr>
      <w:r>
        <w:rPr>
          <w:rFonts w:ascii="Arial"/>
          <w:sz w:val="24"/>
          <w:b/>
        </w:rPr>
        <w:t>3.2 FINANCIAL CRITERIA</w:t>
      </w:r>
    </w:p>
    <w:p>
      <w:pPr>
        <w:jc w:val="left"/>
      </w:pPr>
      <w:r>
        <w:rPr>
          <w:rFonts w:ascii="Arial"/>
          <w:sz w:val="24"/>
          <w:b/>
        </w:rPr>
        <w:t>3.2.1 ANNUAL TURNOVER</w:t>
      </w:r>
    </w:p>
    <w:p>
      <w:pPr>
        <w:jc w:val="left"/>
      </w:pPr>
      <w:r>
        <w:rPr>
          <w:rFonts w:ascii="Arial"/>
          <w:sz w:val="24"/>
        </w:rPr>
        <w:t>The average annual turnover of the Bidder for last three audited accounting years shall be equal to or more than Rs. 0.37 Crore.</w:t>
      </w:r>
    </w:p>
    <w:p>
      <w:r>
        <w:t/>
      </w:r>
    </w:p>
    <w:p>
      <w:pPr>
        <w:jc w:val="left"/>
      </w:pPr>
      <w:r>
        <w:rPr>
          <w:rFonts w:ascii="Arial"/>
          <w:sz w:val="24"/>
          <w:b/>
        </w:rPr>
        <w:t>3.2.2 NET WORTH</w:t>
      </w:r>
    </w:p>
    <w:p>
      <w:pPr>
        <w:jc w:val="left"/>
      </w:pPr>
      <w:r>
        <w:rPr>
          <w:rFonts w:ascii="Arial"/>
          <w:sz w:val="24"/>
        </w:rPr>
        <w:t>The bidder should have positive net worth as per the latest audited financial statement.</w:t>
      </w:r>
    </w:p>
    <w:p>
      <w:r>
        <w:t/>
      </w:r>
    </w:p>
    <w:p>
      <w:pPr>
        <w:jc w:val="left"/>
      </w:pPr>
      <w:r>
        <w:rPr>
          <w:rFonts w:ascii="Arial"/>
          <w:sz w:val="24"/>
          <w:b/>
        </w:rPr>
        <w:t>3.3 BIDS MAY BE SUBMITTED BY</w:t>
      </w:r>
    </w:p>
    <w:p>
      <w:pPr>
        <w:jc w:val="left"/>
      </w:pPr>
      <w:r>
        <w:rPr>
          <w:rFonts w:ascii="Arial"/>
          <w:sz w:val="24"/>
        </w:rPr>
        <w:t>3.3.1 An entity (domestic bidder) should have completed 3 financial years of existence as on original due date of tender since date of commencement of business and shall fulfil each BQC eligibility criteria as mentioned above.</w:t>
      </w:r>
    </w:p>
    <w:p>
      <w:pPr>
        <w:jc w:val="left"/>
      </w:pPr>
      <w:r>
        <w:rPr>
          <w:rFonts w:ascii="Arial"/>
          <w:sz w:val="24"/>
        </w:rPr>
        <w:t>3.3.2 JV/Consortium bids will not be accepted (i.e. Qualification on the strength of the JV Partners/Consortium Members /Subsidiaries / Group members will not be accepted)</w:t>
      </w:r>
    </w:p>
    <w:p>
      <w:r>
        <w:t/>
      </w:r>
    </w:p>
    <w:p>
      <w:r>
        <w:t/>
      </w:r>
    </w:p>
    <w:p>
      <w:pPr>
        <w:jc w:val="left"/>
      </w:pPr>
      <w:r>
        <w:rPr>
          <w:rFonts w:ascii="Arial"/>
          <w:sz w:val="24"/>
          <w:b/>
        </w:rPr>
        <w:t>4. EVALUATION METHODOLOGY</w:t>
      </w:r>
    </w:p>
    <w:p>
      <w:pPr>
        <w:jc w:val="left"/>
      </w:pPr>
      <w:r>
        <w:rPr>
          <w:rFonts w:ascii="Arial"/>
          <w:sz w:val="24"/>
        </w:rPr>
        <w:t>The tender will be invited through Open tender (Domestic) as two-part bid. The bid qualification evaluation of the received bids will be done as per the above bid qualification criteria and the technical bid of the shortlisted bidders will be evaluated subsequently. The price bids of the bidders who qualify BQC criteria &amp; meet Technical / Commercial requirements of the tender will only be opened and evaluated.</w:t>
      </w:r>
    </w:p>
    <w:p>
      <w:pPr>
        <w:jc w:val="left"/>
      </w:pPr>
      <w:r>
        <w:rPr>
          <w:rFonts w:ascii="Arial"/>
          <w:sz w:val="24"/>
        </w:rPr>
        <w:t>The Commercial Evaluation shall be done on Overall Lowest Basis.</w:t>
      </w:r>
    </w:p>
    <w:p>
      <w:pPr>
        <w:jc w:val="left"/>
      </w:pPr>
      <w:r>
        <w:rPr>
          <w:rFonts w:ascii="Arial"/>
          <w:sz w:val="24"/>
        </w:rPr>
        <w:t>The order will be placed based on above methodology AND Purchase preference based on MSE/ PPP-MII Policy.</w:t>
      </w:r>
    </w:p>
    <w:p>
      <w:pPr>
        <w:jc w:val="left"/>
      </w:pPr>
      <w:r>
        <w:rPr>
          <w:rFonts w:ascii="Arial"/>
          <w:sz w:val="24"/>
        </w:rPr>
        <w:t>The subject job is .</w:t>
      </w:r>
    </w:p>
    <w:p>
      <w:r>
        <w:t/>
      </w:r>
    </w:p>
    <w:p>
      <w:r>
        <w:t/>
      </w:r>
    </w:p>
    <w:p>
      <w:pPr>
        <w:jc w:val="left"/>
      </w:pPr>
      <w:r>
        <w:rPr>
          <w:rFonts w:ascii="Arial"/>
          <w:sz w:val="24"/>
          <w:b/>
        </w:rPr>
        <w:t>5. EARNEST MONEY DEPOSIT (EMD)</w:t>
      </w:r>
    </w:p>
    <w:p>
      <w:pPr>
        <w:jc w:val="left"/>
      </w:pPr>
      <w:r>
        <w:rPr>
          <w:rFonts w:ascii="Arial"/>
          <w:sz w:val="24"/>
        </w:rPr>
        <w:t>Bidders are required to provide Earnest Money Deposit equivalent to Rs. 2.50 Lacs for the tender.</w:t>
      </w:r>
    </w:p>
    <w:p>
      <w:pPr>
        <w:jc w:val="left"/>
      </w:pPr>
      <w:r>
        <w:rPr>
          <w:rFonts w:ascii="Arial"/>
          <w:sz w:val="24"/>
        </w:rPr>
        <w:t>EMD exemption shall be as per General Terms &amp; Conditions of GeM (applicable for GeM tenders)/ MSE policy</w:t>
      </w:r>
    </w:p>
    <w:p>
      <w:r>
        <w:t/>
      </w:r>
    </w:p>
    <w:p>
      <w:r>
        <w:t/>
      </w:r>
    </w:p>
    <w:p>
      <w:r>
        <w:t/>
      </w:r>
    </w:p>
    <w:p>
      <w:pPr>
        <w:jc w:val="left"/>
      </w:pPr>
      <w:r>
        <w:rPr>
          <w:rFonts w:ascii="Arial"/>
          <w:sz w:val="24"/>
          <w:b/>
        </w:rPr>
        <w:t>8. APPROVAL REQUIRED</w:t>
      </w:r>
    </w:p>
    <w:p>
      <w:pPr>
        <w:jc w:val="left"/>
      </w:pPr>
      <w:r>
        <w:rPr>
          <w:rFonts w:ascii="Arial"/>
          <w:sz w:val="24"/>
        </w:rPr>
        <w:t>In view of above, approval is requested for the supply of Test Tender/job Test Tender for</w:t>
      </w:r>
    </w:p>
    <w:p>
      <w:pPr>
        <w:jc w:val="left"/>
      </w:pPr>
      <w:r>
        <w:rPr>
          <w:rFonts w:ascii="Arial"/>
          <w:sz w:val="24"/>
        </w:rPr>
        <w:t>Bid Qualification Criteria as per Sr. No. 3, as per Clause 13.8 of Guidelines for procurement of Goods and Contract Services.</w:t>
      </w:r>
    </w:p>
    <w:p>
      <w:pPr>
        <w:jc w:val="left"/>
      </w:pPr>
      <w:r>
        <w:rPr>
          <w:rFonts w:ascii="Arial"/>
          <w:sz w:val="24"/>
        </w:rPr>
        <w:t>Inviting bids (two-part bid) through a Domestic Open Tender and adopting evaluation methodology as per Sr. No. 4 above.</w:t>
      </w:r>
    </w:p>
    <w:p>
      <w:pPr>
        <w:jc w:val="left"/>
      </w:pPr>
      <w:r>
        <w:rPr>
          <w:rFonts w:ascii="Arial"/>
          <w:sz w:val="24"/>
        </w:rPr>
        <w:t>Earnest Money Deposit as per Sr. No. 5 above.</w:t>
      </w:r>
    </w:p>
    <w:p>
      <w:r>
        <w:t/>
      </w:r>
    </w:p>
    <w:p>
      <w:r>
        <w:t/>
      </w:r>
    </w:p>
    <w:p>
      <w:pPr>
        <w:jc w:val="center"/>
      </w:pPr>
      <w:r>
        <w:rPr>
          <w:rFonts w:ascii="Arial"/>
          <w:sz w:val="24"/>
          <w:b/>
        </w:rPr>
        <w:t>Proposed by</w:t>
      </w:r>
    </w:p>
    <w:p>
      <w:pPr>
        <w:jc w:val="center"/>
      </w:pPr>
      <w:r>
        <w:rPr>
          <w:rFonts w:ascii="Arial"/>
          <w:sz w:val="24"/>
        </w:rPr>
        <w:t>, </w:t>
      </w:r>
    </w:p>
    <w:p>
      <w:r>
        <w:t/>
      </w:r>
    </w:p>
    <w:p>
      <w:r>
        <w:t/>
      </w:r>
    </w:p>
    <w:p>
      <w:pPr>
        <w:jc w:val="center"/>
      </w:pPr>
      <w:r>
        <w:rPr>
          <w:rFonts w:ascii="Arial"/>
          <w:sz w:val="24"/>
          <w:b/>
        </w:rPr>
        <w:t>Recommended by</w:t>
      </w:r>
    </w:p>
    <w:p>
      <w:pPr>
        <w:jc w:val="center"/>
      </w:pPr>
      <w:r>
        <w:rPr>
          <w:rFonts w:ascii="Arial"/>
          <w:sz w:val="24"/>
        </w:rPr>
        <w:t>, </w:t>
      </w:r>
    </w:p>
    <w:p>
      <w:r>
        <w:t/>
      </w:r>
    </w:p>
    <w:p>
      <w:r>
        <w:t/>
      </w:r>
    </w:p>
    <w:p>
      <w:pPr>
        <w:jc w:val="center"/>
      </w:pPr>
      <w:r>
        <w:rPr>
          <w:rFonts w:ascii="Arial"/>
          <w:sz w:val="24"/>
          <w:b/>
        </w:rPr>
        <w:t>Concurred by</w:t>
      </w:r>
    </w:p>
    <w:p>
      <w:pPr>
        <w:jc w:val="center"/>
      </w:pPr>
      <w:r>
        <w:rPr>
          <w:rFonts w:ascii="Arial"/>
          <w:sz w:val="24"/>
        </w:rPr>
        <w:t>, </w:t>
      </w:r>
    </w:p>
    <w:p>
      <w:r>
        <w:t/>
      </w:r>
    </w:p>
    <w:p>
      <w:r>
        <w:t/>
      </w:r>
    </w:p>
    <w:p>
      <w:pPr>
        <w:jc w:val="center"/>
      </w:pPr>
      <w:r>
        <w:rPr>
          <w:rFonts w:ascii="Arial"/>
          <w:sz w:val="24"/>
          <w:b/>
        </w:rPr>
        <w:t>Approved by</w:t>
      </w:r>
    </w:p>
    <w:p>
      <w:pPr>
        <w:jc w:val="center"/>
      </w:pPr>
      <w:r>
        <w:rPr>
          <w:rFonts w:ascii="Arial"/>
          <w:sz w:val="24"/>
        </w:rPr>
        <w:t>, </w:t>
      </w:r>
    </w:p>
  </w:body>
</w:document>
</file>