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1A365D"/>
          <w:sz w:val="48"/>
        </w:rPr>
        <w:t>CYBERSECURITY INTERNSHIP ASSESSMENT REPORT</w:t>
      </w:r>
    </w:p>
    <w:p>
      <w:pPr>
        <w:spacing w:after="400"/>
      </w:pPr>
      <w:r>
        <w:rPr>
          <w:color w:val="3182CE"/>
          <w:sz w:val="28"/>
        </w:rPr>
        <w:t>Comprehensive Technical Report: Fundamentals, Lab Implementation &amp; Incident Case Study</w:t>
      </w:r>
    </w:p>
    <w:tbl>
      <w:tblPr>
        <w:tblW w:type="auto" w:w="0"/>
        <w:jc w:val="center"/>
        <w:tblLook w:firstColumn="1" w:firstRow="1" w:lastColumn="0" w:lastRow="0" w:noHBand="0" w:noVBand="1" w:val="04A0"/>
      </w:tblPr>
      <w:tblGrid>
        <w:gridCol w:w="4680"/>
        <w:gridCol w:w="4680"/>
      </w:tblGrid>
      <w:tr>
        <w:tc>
          <w:tcPr>
            <w:tcW w:type="dxa" w:w="3168"/>
            <w:shd w:val="clear" w:color="auto" w:fill="F7FAFC"/>
            <w:tcMar>
              <w:top w:w="80" w:type="dxa"/>
              <w:bottom w:w="80" w:type="dxa"/>
              <w:left w:w="120" w:type="dxa"/>
              <w:right w:w="120" w:type="dxa"/>
            </w:tcMar>
          </w:tcPr>
          <w:p>
            <w:r>
              <w:rPr>
                <w:b/>
                <w:color w:val="1A365D"/>
                <w:sz w:val="20"/>
              </w:rPr>
              <w:t>Candidate Name:</w:t>
            </w:r>
          </w:p>
        </w:tc>
        <w:tc>
          <w:tcPr>
            <w:tcW w:type="dxa" w:w="6192"/>
            <w:shd w:val="clear" w:color="auto" w:fill="FFFFFF"/>
            <w:tcMar>
              <w:top w:w="80" w:type="dxa"/>
              <w:bottom w:w="80" w:type="dxa"/>
              <w:left w:w="120" w:type="dxa"/>
              <w:right w:w="120" w:type="dxa"/>
            </w:tcMar>
          </w:tcPr>
          <w:p>
            <w:r>
              <w:rPr>
                <w:b/>
                <w:color w:val="2D3748"/>
                <w:sz w:val="20"/>
              </w:rPr>
              <w:t>Rakshith S H</w:t>
            </w:r>
          </w:p>
        </w:tc>
      </w:tr>
      <w:tr>
        <w:tc>
          <w:tcPr>
            <w:tcW w:type="dxa" w:w="3168"/>
            <w:shd w:val="clear" w:color="auto" w:fill="F7FAFC"/>
            <w:tcMar>
              <w:top w:w="80" w:type="dxa"/>
              <w:bottom w:w="80" w:type="dxa"/>
              <w:left w:w="120" w:type="dxa"/>
              <w:right w:w="120" w:type="dxa"/>
            </w:tcMar>
          </w:tcPr>
          <w:p>
            <w:r>
              <w:rPr>
                <w:b/>
                <w:color w:val="1A365D"/>
                <w:sz w:val="20"/>
              </w:rPr>
              <w:t>Submission Track:</w:t>
            </w:r>
          </w:p>
        </w:tc>
        <w:tc>
          <w:tcPr>
            <w:tcW w:type="dxa" w:w="6192"/>
            <w:shd w:val="clear" w:color="auto" w:fill="FFFFFF"/>
            <w:tcMar>
              <w:top w:w="80" w:type="dxa"/>
              <w:bottom w:w="80" w:type="dxa"/>
              <w:left w:w="120" w:type="dxa"/>
              <w:right w:w="120" w:type="dxa"/>
            </w:tcMar>
          </w:tcPr>
          <w:p>
            <w:r>
              <w:rPr>
                <w:b w:val="0"/>
                <w:color w:val="2D3748"/>
                <w:sz w:val="20"/>
              </w:rPr>
              <w:t>Cybersecurity &amp; Information Security Technical Internship</w:t>
            </w:r>
          </w:p>
        </w:tc>
      </w:tr>
      <w:tr>
        <w:tc>
          <w:tcPr>
            <w:tcW w:type="dxa" w:w="3168"/>
            <w:shd w:val="clear" w:color="auto" w:fill="F7FAFC"/>
            <w:tcMar>
              <w:top w:w="80" w:type="dxa"/>
              <w:bottom w:w="80" w:type="dxa"/>
              <w:left w:w="120" w:type="dxa"/>
              <w:right w:w="120" w:type="dxa"/>
            </w:tcMar>
          </w:tcPr>
          <w:p>
            <w:r>
              <w:rPr>
                <w:b/>
                <w:color w:val="1A365D"/>
                <w:sz w:val="20"/>
              </w:rPr>
              <w:t>Project Scope:</w:t>
            </w:r>
          </w:p>
        </w:tc>
        <w:tc>
          <w:tcPr>
            <w:tcW w:type="dxa" w:w="6192"/>
            <w:shd w:val="clear" w:color="auto" w:fill="FFFFFF"/>
            <w:tcMar>
              <w:top w:w="80" w:type="dxa"/>
              <w:bottom w:w="80" w:type="dxa"/>
              <w:left w:w="120" w:type="dxa"/>
              <w:right w:w="120" w:type="dxa"/>
            </w:tcMar>
          </w:tcPr>
          <w:p>
            <w:r>
              <w:rPr>
                <w:b w:val="0"/>
                <w:color w:val="2D3748"/>
                <w:sz w:val="20"/>
              </w:rPr>
              <w:t>Modules 1, 2, and 3 Comprehensive Deliverables</w:t>
            </w:r>
          </w:p>
        </w:tc>
      </w:tr>
      <w:tr>
        <w:tc>
          <w:tcPr>
            <w:tcW w:type="dxa" w:w="3168"/>
            <w:shd w:val="clear" w:color="auto" w:fill="F7FAFC"/>
            <w:tcMar>
              <w:top w:w="80" w:type="dxa"/>
              <w:bottom w:w="80" w:type="dxa"/>
              <w:left w:w="120" w:type="dxa"/>
              <w:right w:w="120" w:type="dxa"/>
            </w:tcMar>
          </w:tcPr>
          <w:p>
            <w:r>
              <w:rPr>
                <w:b/>
                <w:color w:val="1A365D"/>
                <w:sz w:val="20"/>
              </w:rPr>
              <w:t>Date of Submission:</w:t>
            </w:r>
          </w:p>
        </w:tc>
        <w:tc>
          <w:tcPr>
            <w:tcW w:type="dxa" w:w="6192"/>
            <w:shd w:val="clear" w:color="auto" w:fill="FFFFFF"/>
            <w:tcMar>
              <w:top w:w="80" w:type="dxa"/>
              <w:bottom w:w="80" w:type="dxa"/>
              <w:left w:w="120" w:type="dxa"/>
              <w:right w:w="120" w:type="dxa"/>
            </w:tcMar>
          </w:tcPr>
          <w:p>
            <w:r>
              <w:rPr>
                <w:b w:val="0"/>
                <w:color w:val="2D3748"/>
                <w:sz w:val="20"/>
              </w:rPr>
              <w:t>October 2026</w:t>
            </w:r>
          </w:p>
        </w:tc>
      </w:tr>
    </w:tbl>
    <w:p>
      <w:pPr>
        <w:spacing w:after="480"/>
      </w:pPr>
    </w:p>
    <w:p>
      <w:pPr>
        <w:keepNext/>
        <w:spacing w:before="480" w:after="160"/>
      </w:pPr>
      <w:r>
        <w:rPr>
          <w:b/>
          <w:color w:val="1A365D"/>
          <w:sz w:val="32"/>
        </w:rPr>
        <w:t>Executive Summary</w:t>
      </w:r>
    </w:p>
    <w:p>
      <w:r>
        <w:t>This multi-part technical assessment presents a structured evaluation of cybersecurity paradigms, encompassing theoretical security fundamentals, hands-on vulnerability assessments in a controlled lab environment, and a deep-dive forensic case study of a premier corporate data breach. The report synthesizes the legal boundaries, methodologies, risk matrices, and defense-in-depth principles necessary to identify, mitigate, and remediate systemic cyber risks across enterprise infrastructures.</w:t>
      </w:r>
    </w:p>
    <w:p>
      <w:pPr>
        <w:keepNext/>
        <w:spacing w:before="480" w:after="160"/>
      </w:pPr>
      <w:r>
        <w:rPr>
          <w:b/>
          <w:color w:val="1A365D"/>
          <w:sz w:val="32"/>
        </w:rPr>
        <w:t>Module 1: Security Fundamentals Assessment</w:t>
      </w:r>
    </w:p>
    <w:p>
      <w:pPr>
        <w:keepNext/>
        <w:spacing w:before="280" w:after="80"/>
      </w:pPr>
      <w:r>
        <w:rPr>
          <w:b/>
          <w:color w:val="3182CE"/>
          <w:sz w:val="25"/>
        </w:rPr>
        <w:t>1.1 Ethical Hacking Fundamentals &amp; Legal Boundaries</w:t>
      </w:r>
    </w:p>
    <w:p>
      <w:r>
        <w:t>Ethical hacking functions as authorized adversarial simulation designed to uncover systemic security weaknesses before malicious threat actors exploit them. Legality and authorization represent the fundamental demarcations between authorized penetration testing and illegal computer compromise. Prior to executing any security assessment, explicit, written authorization must be formalized through binding instruments:</w:t>
      </w:r>
    </w:p>
    <w:p>
      <w:pPr>
        <w:pStyle w:val="ListBullet"/>
        <w:spacing w:after="60"/>
      </w:pPr>
      <w:r>
        <w:rPr>
          <w:b/>
          <w:color w:val="1A365D"/>
        </w:rPr>
        <w:t xml:space="preserve">Rules of Engagement (RoE): </w:t>
      </w:r>
      <w:r>
        <w:t>defines the precise targets, network blocks, domains, and application tiers authorized for evaluation, explicitly excluding third-party cloud infrastructure and partner APIs.</w:t>
      </w:r>
    </w:p>
    <w:p>
      <w:pPr>
        <w:pStyle w:val="ListBullet"/>
        <w:spacing w:after="60"/>
      </w:pPr>
      <w:r>
        <w:rPr>
          <w:b/>
          <w:color w:val="1A365D"/>
        </w:rPr>
        <w:t xml:space="preserve">Non-Disclosure Agreements (NDA): </w:t>
      </w:r>
      <w:r>
        <w:t>legally protects proprietary system architectures, discovered zero-days, and enterprise intellectual property during testing.</w:t>
      </w:r>
    </w:p>
    <w:p>
      <w:pPr>
        <w:pStyle w:val="ListBullet"/>
        <w:spacing w:after="60"/>
      </w:pPr>
      <w:r>
        <w:rPr>
          <w:b/>
          <w:color w:val="1A365D"/>
        </w:rPr>
        <w:t xml:space="preserve">Scope of Work (SoW): </w:t>
      </w:r>
      <w:r>
        <w:t>mandates zero unauthorized modifications, prevents data exfiltration, establishes emergency operational contacts, and dictates acceptable testing hours to avoid production outages.</w:t>
      </w:r>
    </w:p>
    <w:p>
      <w:r>
        <w:t>Assessments operate under strict regulatory parameters, complying with statutes such as the Computer Fraud and Abuse Act (CFAA), the Information Technology Act (IT Act 2000/2008), and GDPR privacy requirements.</w:t>
      </w:r>
    </w:p>
    <w:p>
      <w:pPr>
        <w:keepNext/>
        <w:spacing w:before="280" w:after="80"/>
      </w:pPr>
      <w:r>
        <w:rPr>
          <w:b/>
          <w:color w:val="3182CE"/>
          <w:sz w:val="25"/>
        </w:rPr>
        <w:t>1.2 Penetration Testing Methodologies</w:t>
      </w:r>
    </w:p>
    <w:p>
      <w:r>
        <w:t>Standardized methodologies guarantee reproducible, disciplined, and non-destructive evaluations. This assessment follows the Penetration Testing Execution Standard (PTES) and NIST SP 800-115, progressing across six defined phases:</w:t>
      </w:r>
    </w:p>
    <w:p>
      <w:pPr>
        <w:pStyle w:val="ListBullet"/>
        <w:spacing w:after="60"/>
      </w:pPr>
      <w:r>
        <w:rPr>
          <w:b/>
          <w:color w:val="1A365D"/>
        </w:rPr>
        <w:t xml:space="preserve">1. Pre-engagement / Planning: </w:t>
      </w:r>
      <w:r>
        <w:t>Establish legal authorization, test windows, escalation protocols, and testing scope.</w:t>
      </w:r>
    </w:p>
    <w:p>
      <w:pPr>
        <w:pStyle w:val="ListBullet"/>
        <w:spacing w:after="60"/>
      </w:pPr>
      <w:r>
        <w:rPr>
          <w:b/>
          <w:color w:val="1A365D"/>
        </w:rPr>
        <w:t xml:space="preserve">2. Reconnaissance: </w:t>
      </w:r>
      <w:r>
        <w:t>Perform passive OSINT and non-invasive surface mapping to identify reachable network services.</w:t>
      </w:r>
    </w:p>
    <w:p>
      <w:pPr>
        <w:pStyle w:val="ListBullet"/>
        <w:spacing w:after="60"/>
      </w:pPr>
      <w:r>
        <w:rPr>
          <w:b/>
          <w:color w:val="1A365D"/>
        </w:rPr>
        <w:t xml:space="preserve">3. Vulnerability Analysis: </w:t>
      </w:r>
      <w:r>
        <w:t>Correlate exposed services against vulnerability repositories (CWE/CVE databases).</w:t>
      </w:r>
    </w:p>
    <w:p>
      <w:pPr>
        <w:pStyle w:val="ListBullet"/>
        <w:spacing w:after="60"/>
      </w:pPr>
      <w:r>
        <w:rPr>
          <w:b/>
          <w:color w:val="1A365D"/>
        </w:rPr>
        <w:t xml:space="preserve">4. Exploitation / Validation: </w:t>
      </w:r>
      <w:r>
        <w:t>Safely validate exploitability through non-destructive proofs-of-concept without causing operational disruption.</w:t>
      </w:r>
    </w:p>
    <w:p>
      <w:pPr>
        <w:pStyle w:val="ListBullet"/>
        <w:spacing w:after="60"/>
      </w:pPr>
      <w:r>
        <w:rPr>
          <w:b/>
          <w:color w:val="1A365D"/>
        </w:rPr>
        <w:t xml:space="preserve">5. Post-Exploitation / Impact: </w:t>
      </w:r>
      <w:r>
        <w:t>Assess lateral movement potential and access persistence risks under strict controls.</w:t>
      </w:r>
    </w:p>
    <w:p>
      <w:pPr>
        <w:pStyle w:val="ListBullet"/>
        <w:spacing w:after="60"/>
      </w:pPr>
      <w:r>
        <w:rPr>
          <w:b/>
          <w:color w:val="1A365D"/>
        </w:rPr>
        <w:t xml:space="preserve">6. Reporting &amp; Remediation: </w:t>
      </w:r>
      <w:r>
        <w:t>Translate technical discoveries into actionable remediation plans and executive risk briefings.</w:t>
      </w:r>
    </w:p>
    <w:p>
      <w:pPr>
        <w:keepNext/>
        <w:spacing w:before="280" w:after="80"/>
      </w:pPr>
      <w:r>
        <w:rPr>
          <w:b/>
          <w:color w:val="3182CE"/>
          <w:sz w:val="25"/>
        </w:rPr>
        <w:t>1.3 Common Vulnerabilities &amp; Attack Surfaces</w:t>
      </w:r>
    </w:p>
    <w:p>
      <w:r>
        <w:t>Enterprise attack surfaces consist of web applications, network infrastructure, identity providers, and cloud services. The assessment integrates the OWASP Top 10 framework, addressing critical failure modes:</w:t>
      </w:r>
    </w:p>
    <w:p>
      <w:pPr>
        <w:pStyle w:val="ListBullet"/>
        <w:spacing w:after="60"/>
      </w:pPr>
      <w:r>
        <w:rPr>
          <w:b/>
          <w:color w:val="1A365D"/>
        </w:rPr>
        <w:t xml:space="preserve">A01: Broken Access Control: </w:t>
      </w:r>
      <w:r>
        <w:t>Flaws allowing unauthorized privilege escalation or direct object references (IDOR).</w:t>
      </w:r>
    </w:p>
    <w:p>
      <w:pPr>
        <w:pStyle w:val="ListBullet"/>
        <w:spacing w:after="60"/>
      </w:pPr>
      <w:r>
        <w:rPr>
          <w:b/>
          <w:color w:val="1A365D"/>
        </w:rPr>
        <w:t xml:space="preserve">A02: Cryptographic Failures: </w:t>
      </w:r>
      <w:r>
        <w:t>Improper TLS ciphers, lack of data-at-rest encryption, or cleartext credential transmission.</w:t>
      </w:r>
    </w:p>
    <w:p>
      <w:pPr>
        <w:pStyle w:val="ListBullet"/>
        <w:spacing w:after="60"/>
      </w:pPr>
      <w:r>
        <w:rPr>
          <w:b/>
          <w:color w:val="1A365D"/>
        </w:rPr>
        <w:t xml:space="preserve">A03: Injection Flaws: </w:t>
      </w:r>
      <w:r>
        <w:t>SQLi, Command Injection, and LDAP Injection resulting from unvalidated data entering interpreters.</w:t>
      </w:r>
    </w:p>
    <w:p>
      <w:pPr>
        <w:pStyle w:val="ListBullet"/>
        <w:spacing w:after="60"/>
      </w:pPr>
      <w:r>
        <w:rPr>
          <w:b/>
          <w:color w:val="1A365D"/>
        </w:rPr>
        <w:t xml:space="preserve">A05: Security Misconfiguration: </w:t>
      </w:r>
      <w:r>
        <w:t>Default administrative credentials, exposed cloud storage buckets, verbose debug banners, and unpatched web daemons.</w:t>
      </w:r>
    </w:p>
    <w:p>
      <w:pPr>
        <w:keepNext/>
        <w:spacing w:before="280" w:after="80"/>
      </w:pPr>
      <w:r>
        <w:rPr>
          <w:b/>
          <w:color w:val="3182CE"/>
          <w:sz w:val="25"/>
        </w:rPr>
        <w:t>1.4 Reconnaissance &amp; Attack Surface Identification</w:t>
      </w:r>
    </w:p>
    <w:p>
      <w:r>
        <w:t>Reconnaissance techniques are divided into passive and active vectors. Passive reconnaissance leaves no log entries on target networks by leveraging open-source intelligence (OSINT), including Certificate Transparency logs (crt.sh), WHOIS registries, DNS records (A, MX, TXT, SOA), and Google Dorking. Active reconnaissance carefully engages the target infrastructure through banner grabbing and port scanning, producing the blueprint for subsequent vulnerability assessments.</w:t>
      </w:r>
    </w:p>
    <w:p>
      <w:pPr>
        <w:keepNext/>
        <w:spacing w:before="280" w:after="80"/>
      </w:pPr>
      <w:r>
        <w:rPr>
          <w:b/>
          <w:color w:val="3182CE"/>
          <w:sz w:val="25"/>
        </w:rPr>
        <w:t>1.5 Risk Assessment &amp; Defensive Security Controls</w:t>
      </w:r>
    </w:p>
    <w:p>
      <w:r>
        <w:t>Identified vulnerabilities are systematically ranked using the Common Vulnerability Scoring System (CVSS v3.1), evaluating Attack Vector (AV), Attack Complexity (AC), Privileges Required (PR), User Interaction (UI), and the CIA Triad (Confidentiality, Integrity, Availability) impact. A multi-layered defense-in-depth model is implemented to neutralize risks:</w:t>
      </w:r>
    </w:p>
    <w:p>
      <w:pPr>
        <w:pStyle w:val="ListBullet"/>
        <w:spacing w:after="60"/>
      </w:pPr>
      <w:r>
        <w:rPr>
          <w:b/>
          <w:color w:val="1A365D"/>
        </w:rPr>
        <w:t xml:space="preserve">Administrative Controls: </w:t>
      </w:r>
      <w:r>
        <w:t>Security policies, change management, acceptable use guidelines, and continuous security awareness training.</w:t>
      </w:r>
    </w:p>
    <w:p>
      <w:pPr>
        <w:pStyle w:val="ListBullet"/>
        <w:spacing w:after="60"/>
      </w:pPr>
      <w:r>
        <w:rPr>
          <w:b/>
          <w:color w:val="1A365D"/>
        </w:rPr>
        <w:t xml:space="preserve">Technical Controls: </w:t>
      </w:r>
      <w:r>
        <w:t>Next-Generation Firewalls (NGFW), Web Application Firewalls (WAF), Endpoint Detection and Response (EDR), Multi-Factor Authentication (MFA), and Zero Trust Network Architecture.</w:t>
      </w:r>
    </w:p>
    <w:p>
      <w:pPr>
        <w:pStyle w:val="ListBullet"/>
        <w:spacing w:after="60"/>
      </w:pPr>
      <w:r>
        <w:rPr>
          <w:b/>
          <w:color w:val="1A365D"/>
        </w:rPr>
        <w:t xml:space="preserve">Physical Controls: </w:t>
      </w:r>
      <w:r>
        <w:t>Data center biometrics, server rack physical locking, and environmental monitoring.</w:t>
      </w:r>
    </w:p>
    <w:p>
      <w:pPr>
        <w:keepNext/>
        <w:spacing w:before="480" w:after="160"/>
      </w:pPr>
      <w:r>
        <w:rPr>
          <w:b/>
          <w:color w:val="1A365D"/>
          <w:sz w:val="32"/>
        </w:rPr>
        <w:t>Module 2: Hands-On Lab Implementation</w:t>
      </w:r>
    </w:p>
    <w:p>
      <w:pPr>
        <w:keepNext/>
        <w:spacing w:before="280" w:after="80"/>
      </w:pPr>
      <w:r>
        <w:rPr>
          <w:b/>
          <w:color w:val="3182CE"/>
          <w:sz w:val="25"/>
        </w:rPr>
        <w:t>2.1 Lab Architecture &amp; Environment Setup</w:t>
      </w:r>
    </w:p>
    <w:p>
      <w:r>
        <w:t>The hands-on assessment was conducted in a self-contained, isolated virtual sandbox utilizing host-only private networking (192.168.56.0/24) to guarantee zero packet leakage to production networks. The testbed comprised an assessment workstation (Kali Linux 2024.x) and intentionally vulnerable target systems (Metasploitable 2 and OWASP Juice Shop).</w:t>
      </w:r>
    </w:p>
    <w:p>
      <w:pPr>
        <w:keepNext/>
        <w:spacing w:before="280" w:after="80"/>
      </w:pPr>
      <w:r>
        <w:rPr>
          <w:b/>
          <w:color w:val="3182CE"/>
          <w:sz w:val="25"/>
        </w:rPr>
        <w:t>2.2 Reconnaissance &amp; Service Enumeration</w:t>
      </w:r>
    </w:p>
    <w:p>
      <w:r>
        <w:t>Port and service discovery was executed using non-intrusive TCP SYN scanning. Exposed network services were cataloged alongside software versions and banners: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B6CB0"/>
            <w:tcMar>
              <w:top w:w="80" w:type="dxa"/>
              <w:bottom w:w="80" w:type="dxa"/>
              <w:left w:w="100" w:type="dxa"/>
              <w:right w:w="100" w:type="dxa"/>
            </w:tcMar>
          </w:tcPr>
          <w:p>
            <w:r>
              <w:rPr>
                <w:b/>
                <w:color w:val="FFFFFF"/>
                <w:sz w:val="19"/>
              </w:rPr>
              <w:t>Port / Protocol</w:t>
            </w:r>
          </w:p>
        </w:tc>
        <w:tc>
          <w:tcPr>
            <w:tcW w:type="dxa" w:w="2340"/>
            <w:shd w:val="clear" w:color="auto" w:fill="2B6CB0"/>
            <w:tcMar>
              <w:top w:w="80" w:type="dxa"/>
              <w:bottom w:w="80" w:type="dxa"/>
              <w:left w:w="100" w:type="dxa"/>
              <w:right w:w="100" w:type="dxa"/>
            </w:tcMar>
          </w:tcPr>
          <w:p>
            <w:r>
              <w:rPr>
                <w:b/>
                <w:color w:val="FFFFFF"/>
                <w:sz w:val="19"/>
              </w:rPr>
              <w:t>Discovered Service</w:t>
            </w:r>
          </w:p>
        </w:tc>
        <w:tc>
          <w:tcPr>
            <w:tcW w:type="dxa" w:w="2340"/>
            <w:shd w:val="clear" w:color="auto" w:fill="2B6CB0"/>
            <w:tcMar>
              <w:top w:w="80" w:type="dxa"/>
              <w:bottom w:w="80" w:type="dxa"/>
              <w:left w:w="100" w:type="dxa"/>
              <w:right w:w="100" w:type="dxa"/>
            </w:tcMar>
          </w:tcPr>
          <w:p>
            <w:r>
              <w:rPr>
                <w:b/>
                <w:color w:val="FFFFFF"/>
                <w:sz w:val="19"/>
              </w:rPr>
              <w:t>Version / Daemon</w:t>
            </w:r>
          </w:p>
        </w:tc>
        <w:tc>
          <w:tcPr>
            <w:tcW w:type="dxa" w:w="2340"/>
            <w:shd w:val="clear" w:color="auto" w:fill="2B6CB0"/>
            <w:tcMar>
              <w:top w:w="80" w:type="dxa"/>
              <w:bottom w:w="80" w:type="dxa"/>
              <w:left w:w="100" w:type="dxa"/>
              <w:right w:w="100" w:type="dxa"/>
            </w:tcMar>
          </w:tcPr>
          <w:p>
            <w:r>
              <w:rPr>
                <w:b/>
                <w:color w:val="FFFFFF"/>
                <w:sz w:val="19"/>
              </w:rPr>
              <w:t>Observed Risk Level</w:t>
            </w:r>
          </w:p>
        </w:tc>
      </w:tr>
      <w:tr>
        <w:tc>
          <w:tcPr>
            <w:tcW w:type="dxa" w:w="2340"/>
            <w:shd w:val="clear" w:color="auto" w:fill="FFFFFF"/>
            <w:tcMar>
              <w:top w:w="60" w:type="dxa"/>
              <w:bottom w:w="60" w:type="dxa"/>
              <w:left w:w="100" w:type="dxa"/>
              <w:right w:w="100" w:type="dxa"/>
            </w:tcMar>
          </w:tcPr>
          <w:p>
            <w:r>
              <w:rPr>
                <w:sz w:val="19"/>
              </w:rPr>
              <w:t>Port 21 / TCP</w:t>
            </w:r>
          </w:p>
        </w:tc>
        <w:tc>
          <w:tcPr>
            <w:tcW w:type="dxa" w:w="2340"/>
            <w:shd w:val="clear" w:color="auto" w:fill="FFFFFF"/>
            <w:tcMar>
              <w:top w:w="60" w:type="dxa"/>
              <w:bottom w:w="60" w:type="dxa"/>
              <w:left w:w="100" w:type="dxa"/>
              <w:right w:w="100" w:type="dxa"/>
            </w:tcMar>
          </w:tcPr>
          <w:p>
            <w:r>
              <w:rPr>
                <w:sz w:val="19"/>
              </w:rPr>
              <w:t>FTP (File Transfer)</w:t>
            </w:r>
          </w:p>
        </w:tc>
        <w:tc>
          <w:tcPr>
            <w:tcW w:type="dxa" w:w="2340"/>
            <w:shd w:val="clear" w:color="auto" w:fill="FFFFFF"/>
            <w:tcMar>
              <w:top w:w="60" w:type="dxa"/>
              <w:bottom w:w="60" w:type="dxa"/>
              <w:left w:w="100" w:type="dxa"/>
              <w:right w:w="100" w:type="dxa"/>
            </w:tcMar>
          </w:tcPr>
          <w:p>
            <w:r>
              <w:rPr>
                <w:sz w:val="19"/>
              </w:rPr>
              <w:t>vsftpd 2.3.4</w:t>
            </w:r>
          </w:p>
        </w:tc>
        <w:tc>
          <w:tcPr>
            <w:tcW w:type="dxa" w:w="2340"/>
            <w:shd w:val="clear" w:color="auto" w:fill="FFFFFF"/>
            <w:tcMar>
              <w:top w:w="60" w:type="dxa"/>
              <w:bottom w:w="60" w:type="dxa"/>
              <w:left w:w="100" w:type="dxa"/>
              <w:right w:w="100" w:type="dxa"/>
            </w:tcMar>
          </w:tcPr>
          <w:p>
            <w:r>
              <w:rPr>
                <w:sz w:val="19"/>
              </w:rPr>
              <w:t>High (Outdated daemon)</w:t>
            </w:r>
          </w:p>
        </w:tc>
      </w:tr>
      <w:tr>
        <w:tc>
          <w:tcPr>
            <w:tcW w:type="dxa" w:w="2340"/>
            <w:shd w:val="clear" w:color="auto" w:fill="EDF2F7"/>
            <w:tcMar>
              <w:top w:w="60" w:type="dxa"/>
              <w:bottom w:w="60" w:type="dxa"/>
              <w:left w:w="100" w:type="dxa"/>
              <w:right w:w="100" w:type="dxa"/>
            </w:tcMar>
          </w:tcPr>
          <w:p>
            <w:r>
              <w:rPr>
                <w:sz w:val="19"/>
              </w:rPr>
              <w:t>Port 22 / TCP</w:t>
            </w:r>
          </w:p>
        </w:tc>
        <w:tc>
          <w:tcPr>
            <w:tcW w:type="dxa" w:w="2340"/>
            <w:shd w:val="clear" w:color="auto" w:fill="EDF2F7"/>
            <w:tcMar>
              <w:top w:w="60" w:type="dxa"/>
              <w:bottom w:w="60" w:type="dxa"/>
              <w:left w:w="100" w:type="dxa"/>
              <w:right w:w="100" w:type="dxa"/>
            </w:tcMar>
          </w:tcPr>
          <w:p>
            <w:r>
              <w:rPr>
                <w:sz w:val="19"/>
              </w:rPr>
              <w:t>SSH (Secure Shell)</w:t>
            </w:r>
          </w:p>
        </w:tc>
        <w:tc>
          <w:tcPr>
            <w:tcW w:type="dxa" w:w="2340"/>
            <w:shd w:val="clear" w:color="auto" w:fill="EDF2F7"/>
            <w:tcMar>
              <w:top w:w="60" w:type="dxa"/>
              <w:bottom w:w="60" w:type="dxa"/>
              <w:left w:w="100" w:type="dxa"/>
              <w:right w:w="100" w:type="dxa"/>
            </w:tcMar>
          </w:tcPr>
          <w:p>
            <w:r>
              <w:rPr>
                <w:sz w:val="19"/>
              </w:rPr>
              <w:t>OpenSSH 4.7p1</w:t>
            </w:r>
          </w:p>
        </w:tc>
        <w:tc>
          <w:tcPr>
            <w:tcW w:type="dxa" w:w="2340"/>
            <w:shd w:val="clear" w:color="auto" w:fill="EDF2F7"/>
            <w:tcMar>
              <w:top w:w="60" w:type="dxa"/>
              <w:bottom w:w="60" w:type="dxa"/>
              <w:left w:w="100" w:type="dxa"/>
              <w:right w:w="100" w:type="dxa"/>
            </w:tcMar>
          </w:tcPr>
          <w:p>
            <w:r>
              <w:rPr>
                <w:sz w:val="19"/>
              </w:rPr>
              <w:t>Medium (Weak cipher support)</w:t>
            </w:r>
          </w:p>
        </w:tc>
      </w:tr>
      <w:tr>
        <w:tc>
          <w:tcPr>
            <w:tcW w:type="dxa" w:w="2340"/>
            <w:shd w:val="clear" w:color="auto" w:fill="FFFFFF"/>
            <w:tcMar>
              <w:top w:w="60" w:type="dxa"/>
              <w:bottom w:w="60" w:type="dxa"/>
              <w:left w:w="100" w:type="dxa"/>
              <w:right w:w="100" w:type="dxa"/>
            </w:tcMar>
          </w:tcPr>
          <w:p>
            <w:r>
              <w:rPr>
                <w:sz w:val="19"/>
              </w:rPr>
              <w:t>Port 80 / TCP</w:t>
            </w:r>
          </w:p>
        </w:tc>
        <w:tc>
          <w:tcPr>
            <w:tcW w:type="dxa" w:w="2340"/>
            <w:shd w:val="clear" w:color="auto" w:fill="FFFFFF"/>
            <w:tcMar>
              <w:top w:w="60" w:type="dxa"/>
              <w:bottom w:w="60" w:type="dxa"/>
              <w:left w:w="100" w:type="dxa"/>
              <w:right w:w="100" w:type="dxa"/>
            </w:tcMar>
          </w:tcPr>
          <w:p>
            <w:r>
              <w:rPr>
                <w:sz w:val="19"/>
              </w:rPr>
              <w:t>HTTP (Web Server)</w:t>
            </w:r>
          </w:p>
        </w:tc>
        <w:tc>
          <w:tcPr>
            <w:tcW w:type="dxa" w:w="2340"/>
            <w:shd w:val="clear" w:color="auto" w:fill="FFFFFF"/>
            <w:tcMar>
              <w:top w:w="60" w:type="dxa"/>
              <w:bottom w:w="60" w:type="dxa"/>
              <w:left w:w="100" w:type="dxa"/>
              <w:right w:w="100" w:type="dxa"/>
            </w:tcMar>
          </w:tcPr>
          <w:p>
            <w:r>
              <w:rPr>
                <w:sz w:val="19"/>
              </w:rPr>
              <w:t>Apache 2.2.8 (Ubuntu)</w:t>
            </w:r>
          </w:p>
        </w:tc>
        <w:tc>
          <w:tcPr>
            <w:tcW w:type="dxa" w:w="2340"/>
            <w:shd w:val="clear" w:color="auto" w:fill="FFFFFF"/>
            <w:tcMar>
              <w:top w:w="60" w:type="dxa"/>
              <w:bottom w:w="60" w:type="dxa"/>
              <w:left w:w="100" w:type="dxa"/>
              <w:right w:w="100" w:type="dxa"/>
            </w:tcMar>
          </w:tcPr>
          <w:p>
            <w:r>
              <w:rPr>
                <w:sz w:val="19"/>
              </w:rPr>
              <w:t>High (Outdated &amp; exposed dirs)</w:t>
            </w:r>
          </w:p>
        </w:tc>
      </w:tr>
      <w:tr>
        <w:tc>
          <w:tcPr>
            <w:tcW w:type="dxa" w:w="2340"/>
            <w:shd w:val="clear" w:color="auto" w:fill="EDF2F7"/>
            <w:tcMar>
              <w:top w:w="60" w:type="dxa"/>
              <w:bottom w:w="60" w:type="dxa"/>
              <w:left w:w="100" w:type="dxa"/>
              <w:right w:w="100" w:type="dxa"/>
            </w:tcMar>
          </w:tcPr>
          <w:p>
            <w:r>
              <w:rPr>
                <w:sz w:val="19"/>
              </w:rPr>
              <w:t>Port 3306 / TCP</w:t>
            </w:r>
          </w:p>
        </w:tc>
        <w:tc>
          <w:tcPr>
            <w:tcW w:type="dxa" w:w="2340"/>
            <w:shd w:val="clear" w:color="auto" w:fill="EDF2F7"/>
            <w:tcMar>
              <w:top w:w="60" w:type="dxa"/>
              <w:bottom w:w="60" w:type="dxa"/>
              <w:left w:w="100" w:type="dxa"/>
              <w:right w:w="100" w:type="dxa"/>
            </w:tcMar>
          </w:tcPr>
          <w:p>
            <w:r>
              <w:rPr>
                <w:sz w:val="19"/>
              </w:rPr>
              <w:t>MySQL Database</w:t>
            </w:r>
          </w:p>
        </w:tc>
        <w:tc>
          <w:tcPr>
            <w:tcW w:type="dxa" w:w="2340"/>
            <w:shd w:val="clear" w:color="auto" w:fill="EDF2F7"/>
            <w:tcMar>
              <w:top w:w="60" w:type="dxa"/>
              <w:bottom w:w="60" w:type="dxa"/>
              <w:left w:w="100" w:type="dxa"/>
              <w:right w:w="100" w:type="dxa"/>
            </w:tcMar>
          </w:tcPr>
          <w:p>
            <w:r>
              <w:rPr>
                <w:sz w:val="19"/>
              </w:rPr>
              <w:t>MySQL 5.0.51a</w:t>
            </w:r>
          </w:p>
        </w:tc>
        <w:tc>
          <w:tcPr>
            <w:tcW w:type="dxa" w:w="2340"/>
            <w:shd w:val="clear" w:color="auto" w:fill="EDF2F7"/>
            <w:tcMar>
              <w:top w:w="60" w:type="dxa"/>
              <w:bottom w:w="60" w:type="dxa"/>
              <w:left w:w="100" w:type="dxa"/>
              <w:right w:w="100" w:type="dxa"/>
            </w:tcMar>
          </w:tcPr>
          <w:p>
            <w:r>
              <w:rPr>
                <w:sz w:val="19"/>
              </w:rPr>
              <w:t>Critical (Root bind to 0.0.0.0)</w:t>
            </w:r>
          </w:p>
        </w:tc>
      </w:tr>
    </w:tbl>
    <w:p>
      <w:pPr>
        <w:spacing w:after="160"/>
      </w:pPr>
    </w:p>
    <w:p>
      <w:pPr>
        <w:keepNext/>
        <w:spacing w:before="280" w:after="80"/>
      </w:pPr>
      <w:r>
        <w:rPr>
          <w:b/>
          <w:color w:val="3182CE"/>
          <w:sz w:val="25"/>
        </w:rPr>
        <w:t>2.3 Safe Vulnerability Validation &amp; Proof of Concept</w:t>
      </w:r>
    </w:p>
    <w:p>
      <w:r>
        <w:t>All validation procedures adhered to non-destructive testing guidelines. Findings confirmed the following weaknesses:</w:t>
      </w:r>
    </w:p>
    <w:p>
      <w:pPr>
        <w:pStyle w:val="ListBullet"/>
        <w:spacing w:after="60"/>
      </w:pPr>
      <w:r>
        <w:rPr>
          <w:b/>
          <w:color w:val="1A365D"/>
        </w:rPr>
        <w:t xml:space="preserve">1. Unrestricted Anonymous FTP Access: </w:t>
      </w:r>
      <w:r>
        <w:t>Verified anonymous login permissions via standard FTP commands. Directory enumeration confirmed read access to restricted configurations.</w:t>
      </w:r>
    </w:p>
    <w:p>
      <w:pPr>
        <w:pStyle w:val="ListBullet"/>
        <w:spacing w:after="60"/>
      </w:pPr>
      <w:r>
        <w:rPr>
          <w:b/>
          <w:color w:val="1A365D"/>
        </w:rPr>
        <w:t xml:space="preserve">2. Default Web Administrative Credentials: </w:t>
      </w:r>
      <w:r>
        <w:t>Discovered default administrative credentials on test web services without rate limiting or lockout protection.</w:t>
      </w:r>
    </w:p>
    <w:p>
      <w:pPr>
        <w:pStyle w:val="ListBullet"/>
        <w:spacing w:after="60"/>
      </w:pPr>
      <w:r>
        <w:rPr>
          <w:b/>
          <w:color w:val="1A365D"/>
        </w:rPr>
        <w:t xml:space="preserve">3. SQL Injection on Search Parameter: </w:t>
      </w:r>
      <w:r>
        <w:t>Identified unescaped single-quote parameters producing standard SQL syntax errors on input endpoints, confirming SQLi without extracting sensitive records.</w:t>
      </w:r>
    </w:p>
    <w:p>
      <w:pPr>
        <w:keepNext/>
        <w:spacing w:before="280" w:after="80"/>
      </w:pPr>
      <w:r>
        <w:rPr>
          <w:b/>
          <w:color w:val="3182CE"/>
          <w:sz w:val="25"/>
        </w:rPr>
        <w:t>2.4 Hardening &amp; Remediation Recommendations</w:t>
      </w:r>
    </w:p>
    <w:p>
      <w:r>
        <w:t>Remediation requires immediate defensive reconfiguration:</w:t>
      </w:r>
    </w:p>
    <w:p>
      <w:pPr>
        <w:pStyle w:val="ListBullet"/>
        <w:spacing w:after="60"/>
      </w:pPr>
      <w:r>
        <w:rPr>
          <w:b/>
          <w:color w:val="1A365D"/>
        </w:rPr>
        <w:t xml:space="preserve">Protocol Hardening: </w:t>
      </w:r>
      <w:r>
        <w:t>Enforce explicit disallow directives (`anonymous_enable=NO`), disable legacy FTP daemons, and mandate SFTP/SSH key-based authentication.</w:t>
      </w:r>
    </w:p>
    <w:p>
      <w:pPr>
        <w:pStyle w:val="ListBullet"/>
        <w:spacing w:after="60"/>
      </w:pPr>
      <w:r>
        <w:rPr>
          <w:b/>
          <w:color w:val="1A365D"/>
        </w:rPr>
        <w:t xml:space="preserve">Application Code Fixes: </w:t>
      </w:r>
      <w:r>
        <w:t>Implement parameterized queries (Prepared Statements) across all application database layers to eliminate SQL injection vectors.</w:t>
      </w:r>
    </w:p>
    <w:p>
      <w:pPr>
        <w:pStyle w:val="ListBullet"/>
        <w:spacing w:after="60"/>
      </w:pPr>
      <w:r>
        <w:rPr>
          <w:b/>
          <w:color w:val="1A365D"/>
        </w:rPr>
        <w:t xml:space="preserve">Network Isolation: </w:t>
      </w:r>
      <w:r>
        <w:t>Rebind database daemons strictly to `127.0.0.1` (localhost) and restrict access using host-based firewalls (iptables/UFW).</w:t>
      </w:r>
    </w:p>
    <w:p>
      <w:pPr>
        <w:keepNext/>
        <w:spacing w:before="480" w:after="160"/>
      </w:pPr>
      <w:r>
        <w:rPr>
          <w:b/>
          <w:color w:val="1A365D"/>
          <w:sz w:val="32"/>
        </w:rPr>
        <w:t>Module 3: Real-World Case Study Analysis (Equifax Breach)</w:t>
      </w:r>
    </w:p>
    <w:p>
      <w:pPr>
        <w:keepNext/>
        <w:spacing w:before="280" w:after="80"/>
      </w:pPr>
      <w:r>
        <w:rPr>
          <w:b/>
          <w:color w:val="3182CE"/>
          <w:sz w:val="25"/>
        </w:rPr>
        <w:t>3.1 Incident Background &amp; Attack Lifecycle</w:t>
      </w:r>
    </w:p>
    <w:p>
      <w:r>
        <w:t>In 2017, credit bureau Equifax suffered a catastrophic data breach compromising the Personally Identifiable Information (PII) of approximately 147 million individuals. Attackers exploited an unpatched remote code execution vulnerability (CVE-2017-5638) in the Apache Struts 2 web framework powering Equifax's online dispute portal.</w:t>
      </w:r>
    </w:p>
    <w:p>
      <w:pPr>
        <w:keepNext/>
        <w:spacing w:before="280" w:after="80"/>
      </w:pPr>
      <w:r>
        <w:rPr>
          <w:b/>
          <w:color w:val="3182CE"/>
          <w:sz w:val="25"/>
        </w:rPr>
        <w:t>3.2 Chronological Breach Timeline</w:t>
      </w:r>
    </w:p>
    <w:p>
      <w:pPr>
        <w:pStyle w:val="ListBullet"/>
        <w:spacing w:after="60"/>
      </w:pPr>
      <w:r>
        <w:rPr>
          <w:b/>
          <w:color w:val="1A365D"/>
        </w:rPr>
        <w:t xml:space="preserve">March 7, 2017: </w:t>
      </w:r>
      <w:r>
        <w:t>US-CERT issues emergency advisory for Apache Struts vulnerability CVE-2017-5638.</w:t>
      </w:r>
    </w:p>
    <w:p>
      <w:pPr>
        <w:pStyle w:val="ListBullet"/>
        <w:spacing w:after="60"/>
      </w:pPr>
      <w:r>
        <w:rPr>
          <w:b/>
          <w:color w:val="1A365D"/>
        </w:rPr>
        <w:t xml:space="preserve">March 9-14, 2017: </w:t>
      </w:r>
      <w:r>
        <w:t>Equifax administrators fail to identify and patch the vulnerable dispute portal server due to incomplete asset inventory.</w:t>
      </w:r>
    </w:p>
    <w:p>
      <w:pPr>
        <w:pStyle w:val="ListBullet"/>
        <w:spacing w:after="60"/>
      </w:pPr>
      <w:r>
        <w:rPr>
          <w:b/>
          <w:color w:val="1A365D"/>
        </w:rPr>
        <w:t xml:space="preserve">May 13, 2017: </w:t>
      </w:r>
      <w:r>
        <w:t>Threat actors discover the vulnerable endpoint and establish interactive web shells under web-tier permissions.</w:t>
      </w:r>
    </w:p>
    <w:p>
      <w:pPr>
        <w:pStyle w:val="ListBullet"/>
        <w:spacing w:after="60"/>
      </w:pPr>
      <w:r>
        <w:rPr>
          <w:b/>
          <w:color w:val="1A365D"/>
        </w:rPr>
        <w:t xml:space="preserve">May - July 2017: </w:t>
      </w:r>
      <w:r>
        <w:t>Attackers perform internal network reconnaissance, discover unencrypted database credentials in plaintext configuration files, and systematically query 48 internal databases.</w:t>
      </w:r>
    </w:p>
    <w:p>
      <w:pPr>
        <w:pStyle w:val="ListBullet"/>
        <w:spacing w:after="60"/>
      </w:pPr>
      <w:r>
        <w:rPr>
          <w:b/>
          <w:color w:val="1A365D"/>
        </w:rPr>
        <w:t xml:space="preserve">July 29, 2017: </w:t>
      </w:r>
      <w:r>
        <w:t>Internal security engineers renew an expired digital certificate on internal network traffic inspection tools, instantly discovering unauthorized encrypted data exfiltration.</w:t>
      </w:r>
    </w:p>
    <w:p>
      <w:pPr>
        <w:keepNext/>
        <w:spacing w:before="280" w:after="80"/>
      </w:pPr>
      <w:r>
        <w:rPr>
          <w:b/>
          <w:color w:val="3182CE"/>
          <w:sz w:val="25"/>
        </w:rPr>
        <w:t>3.3 Technical Root Cause Analysis</w:t>
      </w:r>
    </w:p>
    <w:p>
      <w:r>
        <w:t>The initial compromise leveraged a flaw within the `Jakarta Multipart parser` in Apache Struts. When handling malformed `Content-Type` headers containing Object-Graph Navigation Language (OGNL) expressions, the parser failed to sanitize the input, triggering arbitrary system command execution with the privileges of the web application daemon.</w:t>
      </w:r>
    </w:p>
    <w:p>
      <w:pPr>
        <w:keepNext/>
        <w:spacing w:before="280" w:after="80"/>
      </w:pPr>
      <w:r>
        <w:rPr>
          <w:b/>
          <w:color w:val="3182CE"/>
          <w:sz w:val="25"/>
        </w:rPr>
        <w:t>3.4 Structural Failures &amp; Defensive Takeaways</w:t>
      </w:r>
    </w:p>
    <w:p>
      <w:r>
        <w:t>The incident demonstrated that perimeter defense without internal controls is fatal. Key enterprise failures included:</w:t>
      </w:r>
    </w:p>
    <w:p>
      <w:pPr>
        <w:pStyle w:val="ListBullet"/>
        <w:spacing w:after="60"/>
      </w:pPr>
      <w:r>
        <w:rPr>
          <w:b/>
          <w:color w:val="1A365D"/>
        </w:rPr>
        <w:t xml:space="preserve">Incomplete Asset Inventories: </w:t>
      </w:r>
      <w:r>
        <w:t>Equifax possessed no accurate inventory of software packages, preventing targeted remediation when CVE-2017-5638 was disclosed.</w:t>
      </w:r>
    </w:p>
    <w:p>
      <w:pPr>
        <w:pStyle w:val="ListBullet"/>
        <w:spacing w:after="60"/>
      </w:pPr>
      <w:r>
        <w:rPr>
          <w:b/>
          <w:color w:val="1A365D"/>
        </w:rPr>
        <w:t xml:space="preserve">Certificate Lifecycle Failures: </w:t>
      </w:r>
      <w:r>
        <w:t>Traffic monitoring appliances remained completely blind to lateral data exfiltration for 10 months because an internal SSL certificate had expired.</w:t>
      </w:r>
    </w:p>
    <w:p>
      <w:pPr>
        <w:pStyle w:val="ListBullet"/>
        <w:spacing w:after="60"/>
      </w:pPr>
      <w:r>
        <w:rPr>
          <w:b/>
          <w:color w:val="1A365D"/>
        </w:rPr>
        <w:t xml:space="preserve">Lack of Network Segmentation: </w:t>
      </w:r>
      <w:r>
        <w:t>The public web portal had unrestricted direct network reachability to core credit databases without internal firewalls or database activity monitoring.</w:t>
      </w:r>
    </w:p>
    <w:p>
      <w:pPr>
        <w:keepNext/>
        <w:spacing w:before="480" w:after="160"/>
      </w:pPr>
      <w:r>
        <w:rPr>
          <w:b/>
          <w:color w:val="1A365D"/>
          <w:sz w:val="32"/>
        </w:rPr>
        <w:t>GitHub Project Repository Specification</w:t>
      </w:r>
    </w:p>
    <w:p>
      <w:r>
        <w:t>To fulfill the technical project submission requirements, the accompanying GitHub repository contains the full reproducible lab topology, automated setup scripts, scan configurations, and remediation baselines. Below is the exact repository specification for submission:</w:t>
      </w:r>
    </w:p>
    <w:p>
      <w:pPr>
        <w:pStyle w:val="ListBullet"/>
        <w:spacing w:after="60"/>
      </w:pPr>
      <w:r>
        <w:rPr>
          <w:b/>
          <w:color w:val="1A365D"/>
        </w:rPr>
        <w:t xml:space="preserve">GitHub Project URL: </w:t>
      </w:r>
      <w:r>
        <w:t>https://github.com/Rakshith-SH/security-fundamentals-assessment-lab</w:t>
      </w:r>
    </w:p>
    <w:p>
      <w:r>
        <w:t>Repository Structure Overview:</w:t>
        <w:br/>
        <w:t>├── README.md                  # Detailed lab setup, objectives, and CVSS vulnerability register</w:t>
        <w:br/>
        <w:t>├── documentation/             # Complete PDF/DOCX project report deliverables</w:t>
        <w:br/>
        <w:t>├── lab-setup/                 # Docker Compose files &amp; Vagrant configs for isolated testbed</w:t>
        <w:br/>
        <w:t>├── reconnaissance/            # Passive enumeration scripts &amp; Nmap scan configurations</w:t>
        <w:br/>
        <w:t>├── audit-findings/            # Non-destructive PoC documentation &amp; raw scan outputs</w:t>
        <w:br/>
        <w:t>└── defensive-hardening/       # UFW firewall rules, Apache security configs &amp; patch scripts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