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LIFE LENS</w:t>
      </w:r>
    </w:p>
    <w:p>
      <w:pPr>
        <w:jc w:val="center"/>
      </w:pPr>
      <w:r>
        <w:rPr>
          <w:sz w:val="32"/>
        </w:rPr>
        <w:t>Life Expectancy Machine Learning Capstone</w:t>
      </w:r>
    </w:p>
    <w:p>
      <w:pPr>
        <w:jc w:val="center"/>
      </w:pPr>
      <w:r>
        <w:rPr>
          <w:i/>
        </w:rPr>
        <w:t>Review 2 — Results, Visualisations and Evaluation</w:t>
      </w:r>
    </w:p>
    <w:p>
      <w:r>
        <w:t>Prepared from the saved outputs in the Review 2 Jupyter notebook. Metrics below reflect the notebook outputs available at the time of report generation; plots are reproduced from those saved outputs.</w:t>
      </w:r>
    </w:p>
    <w:p>
      <w:pPr>
        <w:pStyle w:val="Heading1"/>
      </w:pPr>
      <w:r>
        <w:t>1. Project overview</w:t>
      </w:r>
    </w:p>
    <w:p>
      <w:r>
        <w:t>This project explores the WHO-style life-expectancy dataset using exploratory data analysis, preprocessing, PCA, regression, classification, hyperparameter tuning, cross-validation and clustering. The notebook uses separate regression and classification targets and applies train-only preprocessing to reduce data leakage.</w:t>
      </w:r>
    </w:p>
    <w:p>
      <w:pPr>
        <w:pStyle w:val="Heading1"/>
      </w:pPr>
      <w:r>
        <w:t>2. Key results</w:t>
      </w:r>
    </w:p>
    <w:p>
      <w:pPr>
        <w:pStyle w:val="Heading2"/>
      </w:pPr>
      <w:r>
        <w:t>Regression</w:t>
      </w:r>
    </w:p>
    <w:p>
      <w:pPr>
        <w:pStyle w:val="ListBullet"/>
      </w:pPr>
      <w:r>
        <w:t>Best baseline regression model: Support Vector Regressor — R² = 0.9361, RMSE = 2.4422, MAE = 1.6222.</w:t>
      </w:r>
    </w:p>
    <w:p>
      <w:pPr>
        <w:pStyle w:val="ListBullet"/>
      </w:pPr>
      <w:r>
        <w:t>Best tuned regression candidate remained the Support Vector Regressor at R² = 0.9361.</w:t>
      </w:r>
    </w:p>
    <w:p>
      <w:pPr>
        <w:pStyle w:val="ListBullet"/>
      </w:pPr>
      <w:r>
        <w:t>Gradient Boosting tuning improved test R² from 0.8946 to 0.9090 (+0.0144). Random Forest tuning did not improve its reported R².</w:t>
      </w:r>
    </w:p>
    <w:p>
      <w:pPr>
        <w:pStyle w:val="ListBullet"/>
      </w:pPr>
      <w:r>
        <w:t>Five-fold cross-validation for the SVR produced mean R² = 0.9263 (standard deviation = 0.0078).</w:t>
      </w:r>
    </w:p>
    <w:p>
      <w:pPr>
        <w:pStyle w:val="ListBullet"/>
      </w:pPr>
      <w:r>
        <w:t>Regression PCA retained 14 components and 96.2375% of variance.</w:t>
      </w:r>
    </w:p>
    <w:p>
      <w:pPr>
        <w:pStyle w:val="Heading2"/>
      </w:pPr>
      <w:r>
        <w:t>Classification</w:t>
      </w:r>
    </w:p>
    <w:p>
      <w:pPr>
        <w:pStyle w:val="ListBullet"/>
      </w:pPr>
      <w:r>
        <w:t>Best Part-A classifier: K-Nearest Neighbors — accuracy = 0.9456, weighted F1 = 0.9454, ROC-AUC = 0.9661.</w:t>
      </w:r>
    </w:p>
    <w:p>
      <w:pPr>
        <w:pStyle w:val="ListBullet"/>
      </w:pPr>
      <w:r>
        <w:t>Best Part-B standalone classifier: Bagging (Decision Tree) — accuracy = 0.9575, weighted F1 = 0.9577, ROC-AUC = 0.9867.</w:t>
      </w:r>
    </w:p>
    <w:p>
      <w:pPr>
        <w:pStyle w:val="ListBullet"/>
      </w:pPr>
      <w:r>
        <w:t>Tuned Random Forest reached accuracy = 0.9524, weighted F1 = 0.9516 and ROC-AUC = 0.9829.</w:t>
      </w:r>
    </w:p>
    <w:p>
      <w:pPr>
        <w:pStyle w:val="ListBullet"/>
      </w:pPr>
      <w:r>
        <w:t>The notebook's final selection rule chose Bagging (Decision Tree) by highest weighted F1, using ROC-AUC as a tie-breaker.</w:t>
      </w:r>
    </w:p>
    <w:p>
      <w:pPr>
        <w:pStyle w:val="ListBullet"/>
      </w:pPr>
      <w:r>
        <w:t>Classification PCA retained 14 components and 96.4752% of variance.</w:t>
      </w:r>
    </w:p>
    <w:p>
      <w:pPr>
        <w:pStyle w:val="Heading2"/>
      </w:pPr>
      <w:r>
        <w:t>Clustering</w:t>
      </w:r>
    </w:p>
    <w:p>
      <w:pPr>
        <w:pStyle w:val="ListBullet"/>
      </w:pPr>
      <w:r>
        <w:t>The notebook compares K-Means with Agglomerative clustering using ward, complete and average linkage, with k = 3.</w:t>
      </w:r>
    </w:p>
    <w:p>
      <w:pPr>
        <w:pStyle w:val="ListBullet"/>
      </w:pPr>
      <w:r>
        <w:t>Agglomerative complete linkage had the highest reported Silhouette Score (0.7157) and lowest Davies–Bouldin Index (0.6618).</w:t>
      </w:r>
    </w:p>
    <w:p>
      <w:pPr>
        <w:pStyle w:val="ListBullet"/>
      </w:pPr>
      <w:r>
        <w:t>K-Means had a higher Calinski–Harabasz Index (638.96) than the other reported configurations.</w:t>
      </w:r>
    </w:p>
    <w:p>
      <w:pPr>
        <w:pStyle w:val="ListBullet"/>
      </w:pPr>
      <w:r>
        <w:t>The K-Means cluster counts were 1,188, 1,730 and 20; this small third cluster warrants careful interpretation.</w:t>
      </w:r>
    </w:p>
    <w:p>
      <w:pPr>
        <w:pStyle w:val="ListBullet"/>
      </w:pPr>
      <w:r>
        <w:t>The first two clustering PCA components explained 42.63% of variance.</w:t>
      </w:r>
    </w:p>
    <w:p>
      <w:pPr>
        <w:pStyle w:val="Heading1"/>
      </w:pPr>
      <w:r>
        <w:t>3. Results tables</w:t>
      </w:r>
    </w:p>
    <w:p>
      <w:pPr>
        <w:pStyle w:val="Heading2"/>
      </w:pPr>
      <w:r>
        <w:t>Regression model comparison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Model</w:t>
            </w:r>
          </w:p>
        </w:tc>
        <w:tc>
          <w:tcPr>
            <w:tcW w:type="dxa" w:w="2556"/>
          </w:tcPr>
          <w:p>
            <w:r>
              <w:t>R²</w:t>
            </w:r>
          </w:p>
        </w:tc>
        <w:tc>
          <w:tcPr>
            <w:tcW w:type="dxa" w:w="2556"/>
          </w:tcPr>
          <w:p>
            <w:r>
              <w:t>RMSE</w:t>
            </w:r>
          </w:p>
        </w:tc>
        <w:tc>
          <w:tcPr>
            <w:tcW w:type="dxa" w:w="2556"/>
          </w:tcPr>
          <w:p>
            <w:r>
              <w:t>MAE</w:t>
            </w:r>
          </w:p>
        </w:tc>
      </w:tr>
      <w:tr>
        <w:tc>
          <w:tcPr>
            <w:tcW w:type="dxa" w:w="2556"/>
          </w:tcPr>
          <w:p>
            <w:r>
              <w:t>Support Vector Regressor</w:t>
            </w:r>
          </w:p>
        </w:tc>
        <w:tc>
          <w:tcPr>
            <w:tcW w:type="dxa" w:w="2556"/>
          </w:tcPr>
          <w:p>
            <w:r>
              <w:t>0.9361</w:t>
            </w:r>
          </w:p>
        </w:tc>
        <w:tc>
          <w:tcPr>
            <w:tcW w:type="dxa" w:w="2556"/>
          </w:tcPr>
          <w:p>
            <w:r>
              <w:t>2.4422</w:t>
            </w:r>
          </w:p>
        </w:tc>
        <w:tc>
          <w:tcPr>
            <w:tcW w:type="dxa" w:w="2556"/>
          </w:tcPr>
          <w:p>
            <w:r>
              <w:t>1.6222</w:t>
            </w:r>
          </w:p>
        </w:tc>
      </w:tr>
      <w:tr>
        <w:tc>
          <w:tcPr>
            <w:tcW w:type="dxa" w:w="2556"/>
          </w:tcPr>
          <w:p>
            <w:r>
              <w:t>Polynomial Regression (degree 2)</w:t>
            </w:r>
          </w:p>
        </w:tc>
        <w:tc>
          <w:tcPr>
            <w:tcW w:type="dxa" w:w="2556"/>
          </w:tcPr>
          <w:p>
            <w:r>
              <w:t>0.9207</w:t>
            </w:r>
          </w:p>
        </w:tc>
        <w:tc>
          <w:tcPr>
            <w:tcW w:type="dxa" w:w="2556"/>
          </w:tcPr>
          <w:p>
            <w:r>
              <w:t>2.7209</w:t>
            </w:r>
          </w:p>
        </w:tc>
        <w:tc>
          <w:tcPr>
            <w:tcW w:type="dxa" w:w="2556"/>
          </w:tcPr>
          <w:p>
            <w:r>
              <w:t>2.0462</w:t>
            </w:r>
          </w:p>
        </w:tc>
      </w:tr>
      <w:tr>
        <w:tc>
          <w:tcPr>
            <w:tcW w:type="dxa" w:w="2556"/>
          </w:tcPr>
          <w:p>
            <w:r>
              <w:t>Gradient Boosting (tuned)</w:t>
            </w:r>
          </w:p>
        </w:tc>
        <w:tc>
          <w:tcPr>
            <w:tcW w:type="dxa" w:w="2556"/>
          </w:tcPr>
          <w:p>
            <w:r>
              <w:t>0.9090</w:t>
            </w:r>
          </w:p>
        </w:tc>
        <w:tc>
          <w:tcPr>
            <w:tcW w:type="dxa" w:w="2556"/>
          </w:tcPr>
          <w:p>
            <w:r>
              <w:t>2.9148</w:t>
            </w:r>
          </w:p>
        </w:tc>
        <w:tc>
          <w:tcPr>
            <w:tcW w:type="dxa" w:w="2556"/>
          </w:tcPr>
          <w:p>
            <w:r>
              <w:t>2.1167</w:t>
            </w:r>
          </w:p>
        </w:tc>
      </w:tr>
      <w:tr>
        <w:tc>
          <w:tcPr>
            <w:tcW w:type="dxa" w:w="2556"/>
          </w:tcPr>
          <w:p>
            <w:r>
              <w:t>K-Nearest Neighbors Regressor</w:t>
            </w:r>
          </w:p>
        </w:tc>
        <w:tc>
          <w:tcPr>
            <w:tcW w:type="dxa" w:w="2556"/>
          </w:tcPr>
          <w:p>
            <w:r>
              <w:t>0.9056</w:t>
            </w:r>
          </w:p>
        </w:tc>
        <w:tc>
          <w:tcPr>
            <w:tcW w:type="dxa" w:w="2556"/>
          </w:tcPr>
          <w:p>
            <w:r>
              <w:t>2.9683</w:t>
            </w:r>
          </w:p>
        </w:tc>
        <w:tc>
          <w:tcPr>
            <w:tcW w:type="dxa" w:w="2556"/>
          </w:tcPr>
          <w:p>
            <w:r>
              <w:t>2.1026</w:t>
            </w:r>
          </w:p>
        </w:tc>
      </w:tr>
      <w:tr>
        <w:tc>
          <w:tcPr>
            <w:tcW w:type="dxa" w:w="2556"/>
          </w:tcPr>
          <w:p>
            <w:r>
              <w:t>Random Forest Regressor</w:t>
            </w:r>
          </w:p>
        </w:tc>
        <w:tc>
          <w:tcPr>
            <w:tcW w:type="dxa" w:w="2556"/>
          </w:tcPr>
          <w:p>
            <w:r>
              <w:t>0.9054</w:t>
            </w:r>
          </w:p>
        </w:tc>
        <w:tc>
          <w:tcPr>
            <w:tcW w:type="dxa" w:w="2556"/>
          </w:tcPr>
          <w:p>
            <w:r>
              <w:t>2.9728</w:t>
            </w:r>
          </w:p>
        </w:tc>
        <w:tc>
          <w:tcPr>
            <w:tcW w:type="dxa" w:w="2556"/>
          </w:tcPr>
          <w:p>
            <w:r>
              <w:t>2.1176</w:t>
            </w:r>
          </w:p>
        </w:tc>
      </w:tr>
      <w:tr>
        <w:tc>
          <w:tcPr>
            <w:tcW w:type="dxa" w:w="2556"/>
          </w:tcPr>
          <w:p>
            <w:r>
              <w:t>Gradient Boosting Regressor</w:t>
            </w:r>
          </w:p>
        </w:tc>
        <w:tc>
          <w:tcPr>
            <w:tcW w:type="dxa" w:w="2556"/>
          </w:tcPr>
          <w:p>
            <w:r>
              <w:t>0.8946</w:t>
            </w:r>
          </w:p>
        </w:tc>
        <w:tc>
          <w:tcPr>
            <w:tcW w:type="dxa" w:w="2556"/>
          </w:tcPr>
          <w:p>
            <w:r>
              <w:t>3.1369</w:t>
            </w:r>
          </w:p>
        </w:tc>
        <w:tc>
          <w:tcPr>
            <w:tcW w:type="dxa" w:w="2556"/>
          </w:tcPr>
          <w:p>
            <w:r>
              <w:t>2.3203</w:t>
            </w:r>
          </w:p>
        </w:tc>
      </w:tr>
      <w:tr>
        <w:tc>
          <w:tcPr>
            <w:tcW w:type="dxa" w:w="2556"/>
          </w:tcPr>
          <w:p>
            <w:r>
              <w:t>Linear Regression</w:t>
            </w:r>
          </w:p>
        </w:tc>
        <w:tc>
          <w:tcPr>
            <w:tcW w:type="dxa" w:w="2556"/>
          </w:tcPr>
          <w:p>
            <w:r>
              <w:t>0.8561</w:t>
            </w:r>
          </w:p>
        </w:tc>
        <w:tc>
          <w:tcPr>
            <w:tcW w:type="dxa" w:w="2556"/>
          </w:tcPr>
          <w:p>
            <w:r>
              <w:t>3.6658</w:t>
            </w:r>
          </w:p>
        </w:tc>
        <w:tc>
          <w:tcPr>
            <w:tcW w:type="dxa" w:w="2556"/>
          </w:tcPr>
          <w:p>
            <w:r>
              <w:t>2.7375</w:t>
            </w:r>
          </w:p>
        </w:tc>
      </w:tr>
      <w:tr>
        <w:tc>
          <w:tcPr>
            <w:tcW w:type="dxa" w:w="2556"/>
          </w:tcPr>
          <w:p>
            <w:r>
              <w:t>Decision Tree Regressor</w:t>
            </w:r>
          </w:p>
        </w:tc>
        <w:tc>
          <w:tcPr>
            <w:tcW w:type="dxa" w:w="2556"/>
          </w:tcPr>
          <w:p>
            <w:r>
              <w:t>0.8325</w:t>
            </w:r>
          </w:p>
        </w:tc>
        <w:tc>
          <w:tcPr>
            <w:tcW w:type="dxa" w:w="2556"/>
          </w:tcPr>
          <w:p>
            <w:r>
              <w:t>3.9549</w:t>
            </w:r>
          </w:p>
        </w:tc>
        <w:tc>
          <w:tcPr>
            <w:tcW w:type="dxa" w:w="2556"/>
          </w:tcPr>
          <w:p>
            <w:r>
              <w:t>2.8553</w:t>
            </w:r>
          </w:p>
        </w:tc>
      </w:tr>
    </w:tbl>
    <w:p>
      <w:pPr>
        <w:pStyle w:val="Heading2"/>
      </w:pPr>
      <w:r>
        <w:t>Classification comparison highlights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Model</w:t>
            </w:r>
          </w:p>
        </w:tc>
        <w:tc>
          <w:tcPr>
            <w:tcW w:type="dxa" w:w="2045"/>
          </w:tcPr>
          <w:p>
            <w:r>
              <w:t>Accuracy</w:t>
            </w:r>
          </w:p>
        </w:tc>
        <w:tc>
          <w:tcPr>
            <w:tcW w:type="dxa" w:w="2045"/>
          </w:tcPr>
          <w:p>
            <w:r>
              <w:t>Weighted F1</w:t>
            </w:r>
          </w:p>
        </w:tc>
        <w:tc>
          <w:tcPr>
            <w:tcW w:type="dxa" w:w="2045"/>
          </w:tcPr>
          <w:p>
            <w:r>
              <w:t>ROC-AUC</w:t>
            </w:r>
          </w:p>
        </w:tc>
        <w:tc>
          <w:tcPr>
            <w:tcW w:type="dxa" w:w="2045"/>
          </w:tcPr>
          <w:p>
            <w:r>
              <w:t>Track</w:t>
            </w:r>
          </w:p>
        </w:tc>
      </w:tr>
      <w:tr>
        <w:tc>
          <w:tcPr>
            <w:tcW w:type="dxa" w:w="2045"/>
          </w:tcPr>
          <w:p>
            <w:r>
              <w:t>Bagging (Decision Tree)</w:t>
            </w:r>
          </w:p>
        </w:tc>
        <w:tc>
          <w:tcPr>
            <w:tcW w:type="dxa" w:w="2045"/>
          </w:tcPr>
          <w:p>
            <w:r>
              <w:t>0.9575</w:t>
            </w:r>
          </w:p>
        </w:tc>
        <w:tc>
          <w:tcPr>
            <w:tcW w:type="dxa" w:w="2045"/>
          </w:tcPr>
          <w:p>
            <w:r>
              <w:t>0.9577</w:t>
            </w:r>
          </w:p>
        </w:tc>
        <w:tc>
          <w:tcPr>
            <w:tcW w:type="dxa" w:w="2045"/>
          </w:tcPr>
          <w:p>
            <w:r>
              <w:t>0.9867</w:t>
            </w:r>
          </w:p>
        </w:tc>
        <w:tc>
          <w:tcPr>
            <w:tcW w:type="dxa" w:w="2045"/>
          </w:tcPr>
          <w:p>
            <w:r>
              <w:t>Part B</w:t>
            </w:r>
          </w:p>
        </w:tc>
      </w:tr>
      <w:tr>
        <w:tc>
          <w:tcPr>
            <w:tcW w:type="dxa" w:w="2045"/>
          </w:tcPr>
          <w:p>
            <w:r>
              <w:t>Random Forest (tuned)</w:t>
            </w:r>
          </w:p>
        </w:tc>
        <w:tc>
          <w:tcPr>
            <w:tcW w:type="dxa" w:w="2045"/>
          </w:tcPr>
          <w:p>
            <w:r>
              <w:t>0.9524</w:t>
            </w:r>
          </w:p>
        </w:tc>
        <w:tc>
          <w:tcPr>
            <w:tcW w:type="dxa" w:w="2045"/>
          </w:tcPr>
          <w:p>
            <w:r>
              <w:t>0.9516</w:t>
            </w:r>
          </w:p>
        </w:tc>
        <w:tc>
          <w:tcPr>
            <w:tcW w:type="dxa" w:w="2045"/>
          </w:tcPr>
          <w:p>
            <w:r>
              <w:t>0.9829</w:t>
            </w:r>
          </w:p>
        </w:tc>
        <w:tc>
          <w:tcPr>
            <w:tcW w:type="dxa" w:w="2045"/>
          </w:tcPr>
          <w:p>
            <w:r>
              <w:t>Tuned</w:t>
            </w:r>
          </w:p>
        </w:tc>
      </w:tr>
      <w:tr>
        <w:tc>
          <w:tcPr>
            <w:tcW w:type="dxa" w:w="2045"/>
          </w:tcPr>
          <w:p>
            <w:r>
              <w:t>Random Forest</w:t>
            </w:r>
          </w:p>
        </w:tc>
        <w:tc>
          <w:tcPr>
            <w:tcW w:type="dxa" w:w="2045"/>
          </w:tcPr>
          <w:p>
            <w:r>
              <w:t>0.9473</w:t>
            </w:r>
          </w:p>
        </w:tc>
        <w:tc>
          <w:tcPr>
            <w:tcW w:type="dxa" w:w="2045"/>
          </w:tcPr>
          <w:p>
            <w:r>
              <w:t>0.9458</w:t>
            </w:r>
          </w:p>
        </w:tc>
        <w:tc>
          <w:tcPr>
            <w:tcW w:type="dxa" w:w="2045"/>
          </w:tcPr>
          <w:p>
            <w:r>
              <w:t>0.9819</w:t>
            </w:r>
          </w:p>
        </w:tc>
        <w:tc>
          <w:tcPr>
            <w:tcW w:type="dxa" w:w="2045"/>
          </w:tcPr>
          <w:p>
            <w:r>
              <w:t>Part B</w:t>
            </w:r>
          </w:p>
        </w:tc>
      </w:tr>
      <w:tr>
        <w:tc>
          <w:tcPr>
            <w:tcW w:type="dxa" w:w="2045"/>
          </w:tcPr>
          <w:p>
            <w:r>
              <w:t>K-Nearest Neighbors</w:t>
            </w:r>
          </w:p>
        </w:tc>
        <w:tc>
          <w:tcPr>
            <w:tcW w:type="dxa" w:w="2045"/>
          </w:tcPr>
          <w:p>
            <w:r>
              <w:t>0.9456</w:t>
            </w:r>
          </w:p>
        </w:tc>
        <w:tc>
          <w:tcPr>
            <w:tcW w:type="dxa" w:w="2045"/>
          </w:tcPr>
          <w:p>
            <w:r>
              <w:t>0.9454</w:t>
            </w:r>
          </w:p>
        </w:tc>
        <w:tc>
          <w:tcPr>
            <w:tcW w:type="dxa" w:w="2045"/>
          </w:tcPr>
          <w:p>
            <w:r>
              <w:t>0.9661</w:t>
            </w:r>
          </w:p>
        </w:tc>
        <w:tc>
          <w:tcPr>
            <w:tcW w:type="dxa" w:w="2045"/>
          </w:tcPr>
          <w:p>
            <w:r>
              <w:t>Part A</w:t>
            </w:r>
          </w:p>
        </w:tc>
      </w:tr>
      <w:tr>
        <w:tc>
          <w:tcPr>
            <w:tcW w:type="dxa" w:w="2045"/>
          </w:tcPr>
          <w:p>
            <w:r>
              <w:t>Support Vector Machine</w:t>
            </w:r>
          </w:p>
        </w:tc>
        <w:tc>
          <w:tcPr>
            <w:tcW w:type="dxa" w:w="2045"/>
          </w:tcPr>
          <w:p>
            <w:r>
              <w:t>0.9456</w:t>
            </w:r>
          </w:p>
        </w:tc>
        <w:tc>
          <w:tcPr>
            <w:tcW w:type="dxa" w:w="2045"/>
          </w:tcPr>
          <w:p>
            <w:r>
              <w:t>0.9454</w:t>
            </w:r>
          </w:p>
        </w:tc>
        <w:tc>
          <w:tcPr>
            <w:tcW w:type="dxa" w:w="2045"/>
          </w:tcPr>
          <w:p>
            <w:r>
              <w:t>0.9728</w:t>
            </w:r>
          </w:p>
        </w:tc>
        <w:tc>
          <w:tcPr>
            <w:tcW w:type="dxa" w:w="2045"/>
          </w:tcPr>
          <w:p>
            <w:r>
              <w:t>Part A</w:t>
            </w:r>
          </w:p>
        </w:tc>
      </w:tr>
      <w:tr>
        <w:tc>
          <w:tcPr>
            <w:tcW w:type="dxa" w:w="2045"/>
          </w:tcPr>
          <w:p>
            <w:r>
              <w:t>Gradient Boosting</w:t>
            </w:r>
          </w:p>
        </w:tc>
        <w:tc>
          <w:tcPr>
            <w:tcW w:type="dxa" w:w="2045"/>
          </w:tcPr>
          <w:p>
            <w:r>
              <w:t>0.9354</w:t>
            </w:r>
          </w:p>
        </w:tc>
        <w:tc>
          <w:tcPr>
            <w:tcW w:type="dxa" w:w="2045"/>
          </w:tcPr>
          <w:p>
            <w:r>
              <w:t>0.9340</w:t>
            </w:r>
          </w:p>
        </w:tc>
        <w:tc>
          <w:tcPr>
            <w:tcW w:type="dxa" w:w="2045"/>
          </w:tcPr>
          <w:p>
            <w:r>
              <w:t>0.9803</w:t>
            </w:r>
          </w:p>
        </w:tc>
        <w:tc>
          <w:tcPr>
            <w:tcW w:type="dxa" w:w="2045"/>
          </w:tcPr>
          <w:p>
            <w:r>
              <w:t>Part B</w:t>
            </w:r>
          </w:p>
        </w:tc>
      </w:tr>
    </w:tbl>
    <w:p>
      <w:pPr>
        <w:pStyle w:val="Heading2"/>
      </w:pPr>
      <w:r>
        <w:t>Clustering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Configuration</w:t>
            </w:r>
          </w:p>
        </w:tc>
        <w:tc>
          <w:tcPr>
            <w:tcW w:type="dxa" w:w="2556"/>
          </w:tcPr>
          <w:p>
            <w:r>
              <w:t>Silhouette ↑</w:t>
            </w:r>
          </w:p>
        </w:tc>
        <w:tc>
          <w:tcPr>
            <w:tcW w:type="dxa" w:w="2556"/>
          </w:tcPr>
          <w:p>
            <w:r>
              <w:t>Davies–Bouldin ↓</w:t>
            </w:r>
          </w:p>
        </w:tc>
        <w:tc>
          <w:tcPr>
            <w:tcW w:type="dxa" w:w="2556"/>
          </w:tcPr>
          <w:p>
            <w:r>
              <w:t>Calinski–Harabasz ↑</w:t>
            </w:r>
          </w:p>
        </w:tc>
      </w:tr>
      <w:tr>
        <w:tc>
          <w:tcPr>
            <w:tcW w:type="dxa" w:w="2556"/>
          </w:tcPr>
          <w:p>
            <w:r>
              <w:t>Agglomerative — complete</w:t>
            </w:r>
          </w:p>
        </w:tc>
        <w:tc>
          <w:tcPr>
            <w:tcW w:type="dxa" w:w="2556"/>
          </w:tcPr>
          <w:p>
            <w:r>
              <w:t>0.7157</w:t>
            </w:r>
          </w:p>
        </w:tc>
        <w:tc>
          <w:tcPr>
            <w:tcW w:type="dxa" w:w="2556"/>
          </w:tcPr>
          <w:p>
            <w:r>
              <w:t>0.6618</w:t>
            </w:r>
          </w:p>
        </w:tc>
        <w:tc>
          <w:tcPr>
            <w:tcW w:type="dxa" w:w="2556"/>
          </w:tcPr>
          <w:p>
            <w:r>
              <w:t>245.73</w:t>
            </w:r>
          </w:p>
        </w:tc>
      </w:tr>
      <w:tr>
        <w:tc>
          <w:tcPr>
            <w:tcW w:type="dxa" w:w="2556"/>
          </w:tcPr>
          <w:p>
            <w:r>
              <w:t>Agglomerative — average</w:t>
            </w:r>
          </w:p>
        </w:tc>
        <w:tc>
          <w:tcPr>
            <w:tcW w:type="dxa" w:w="2556"/>
          </w:tcPr>
          <w:p>
            <w:r>
              <w:t>0.7110</w:t>
            </w:r>
          </w:p>
        </w:tc>
        <w:tc>
          <w:tcPr>
            <w:tcW w:type="dxa" w:w="2556"/>
          </w:tcPr>
          <w:p>
            <w:r>
              <w:t>0.6783</w:t>
            </w:r>
          </w:p>
        </w:tc>
        <w:tc>
          <w:tcPr>
            <w:tcW w:type="dxa" w:w="2556"/>
          </w:tcPr>
          <w:p>
            <w:r>
              <w:t>248.97</w:t>
            </w:r>
          </w:p>
        </w:tc>
      </w:tr>
      <w:tr>
        <w:tc>
          <w:tcPr>
            <w:tcW w:type="dxa" w:w="2556"/>
          </w:tcPr>
          <w:p>
            <w:r>
              <w:t>K-Means</w:t>
            </w:r>
          </w:p>
        </w:tc>
        <w:tc>
          <w:tcPr>
            <w:tcW w:type="dxa" w:w="2556"/>
          </w:tcPr>
          <w:p>
            <w:r>
              <w:t>0.2412</w:t>
            </w:r>
          </w:p>
        </w:tc>
        <w:tc>
          <w:tcPr>
            <w:tcW w:type="dxa" w:w="2556"/>
          </w:tcPr>
          <w:p>
            <w:r>
              <w:t>1.4297</w:t>
            </w:r>
          </w:p>
        </w:tc>
        <w:tc>
          <w:tcPr>
            <w:tcW w:type="dxa" w:w="2556"/>
          </w:tcPr>
          <w:p>
            <w:r>
              <w:t>638.96</w:t>
            </w:r>
          </w:p>
        </w:tc>
      </w:tr>
      <w:tr>
        <w:tc>
          <w:tcPr>
            <w:tcW w:type="dxa" w:w="2556"/>
          </w:tcPr>
          <w:p>
            <w:r>
              <w:t>Agglomerative — ward</w:t>
            </w:r>
          </w:p>
        </w:tc>
        <w:tc>
          <w:tcPr>
            <w:tcW w:type="dxa" w:w="2556"/>
          </w:tcPr>
          <w:p>
            <w:r>
              <w:t>0.2219</w:t>
            </w:r>
          </w:p>
        </w:tc>
        <w:tc>
          <w:tcPr>
            <w:tcW w:type="dxa" w:w="2556"/>
          </w:tcPr>
          <w:p>
            <w:r>
              <w:t>1.4506</w:t>
            </w:r>
          </w:p>
        </w:tc>
        <w:tc>
          <w:tcPr>
            <w:tcW w:type="dxa" w:w="2556"/>
          </w:tcPr>
          <w:p>
            <w:r>
              <w:t>584.36</w:t>
            </w:r>
          </w:p>
        </w:tc>
      </w:tr>
    </w:tbl>
    <w:p>
      <w:pPr>
        <w:pStyle w:val="Heading1"/>
      </w:pPr>
      <w:r>
        <w:t>4. Visual results gallery</w:t>
      </w:r>
    </w:p>
    <w:p>
      <w:r>
        <w:t>The following 22 plots are extracted directly from saved notebook outputs. Titles are based on their notebook cell context; refer to the notebook for full plotting code and surrounding interpretation.</w:t>
      </w:r>
    </w:p>
    <w:p>
      <w:pPr>
        <w:pStyle w:val="Heading2"/>
      </w:pPr>
      <w:r>
        <w:t>1. ============================================================</w:t>
      </w:r>
    </w:p>
    <w:p>
      <w:r>
        <w:t>Source: notebook cell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86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07_plot_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============================================================</w:t>
      </w:r>
    </w:p>
    <w:p>
      <w:r>
        <w:t>Source: notebook cell 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351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09_plot_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3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 ============================================================</w:t>
      </w:r>
    </w:p>
    <w:p>
      <w:r>
        <w:t>Source: notebook cell 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9159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12_plot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15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 ============================================================</w:t>
      </w:r>
    </w:p>
    <w:p>
      <w:r>
        <w:t>Source: notebook cell 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218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13_plot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21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 ============================================================</w:t>
      </w:r>
    </w:p>
    <w:p>
      <w:r>
        <w:t>Source: notebook cell 14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808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14_plot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0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6. ============================================================</w:t>
      </w:r>
    </w:p>
    <w:p>
      <w:r>
        <w:t>Source: notebook cell 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865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26_plot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7. ============================================================</w:t>
      </w:r>
    </w:p>
    <w:p>
      <w:r>
        <w:t>Source: notebook cell 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865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26_plot_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8. ============================================================</w:t>
      </w:r>
    </w:p>
    <w:p>
      <w:r>
        <w:t>Source: notebook cell 27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30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27_plot_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3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9. ============================================================</w:t>
      </w:r>
    </w:p>
    <w:p>
      <w:r>
        <w:t>Source: notebook cell 28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865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28_plot_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10. ============================================================</w:t>
      </w:r>
    </w:p>
    <w:p>
      <w:r>
        <w:t>Source: notebook cell 28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137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28_plot_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11. ============================================================</w:t>
      </w:r>
    </w:p>
    <w:p>
      <w:r>
        <w:t>Source: notebook cell 34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47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34_plot_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4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12. ============================================================</w:t>
      </w:r>
    </w:p>
    <w:p>
      <w:r>
        <w:t>Source: notebook cell 46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857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46_plot_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5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13. ============================================================</w:t>
      </w:r>
    </w:p>
    <w:p>
      <w:r>
        <w:t>Source: notebook cell 47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96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47_plot_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14. ============================================================</w:t>
      </w:r>
    </w:p>
    <w:p>
      <w:r>
        <w:t>Source: notebook cell 53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1081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53_plot_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0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15. ============================================================</w:t>
      </w:r>
    </w:p>
    <w:p>
      <w:r>
        <w:t>Source: notebook cell 55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4973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55_plot_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16. Review 2: Confusion matrices for the five Part-B classifiers</w:t>
      </w:r>
    </w:p>
    <w:p>
      <w:r>
        <w:t>Source: notebook cell 63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4342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63_plot_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43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17. Review 2: ROC curves for the five Part-B classifiers</w:t>
      </w:r>
    </w:p>
    <w:p>
      <w:r>
        <w:t>Source: notebook cell 64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71809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64_plot_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18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18. Compare all ten required models plus the tuned candidate and select by weighted F1</w:t>
      </w:r>
    </w:p>
    <w:p>
      <w:r>
        <w:t>Source: notebook cell 67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7794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67_plot_0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7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19. K-Means elbow curve: inertia against k</w:t>
      </w:r>
    </w:p>
    <w:p>
      <w:r>
        <w:t>Source: notebook cell 70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9806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70_plot_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98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20. Dendrogram for hierarchical clustering (reproducible sample for readable display)</w:t>
      </w:r>
    </w:p>
    <w:p>
      <w:r>
        <w:t>Source: notebook cell 72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906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72_plot_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0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21. Mandatory PCA 2D visualisation for each clustering configuration</w:t>
      </w:r>
    </w:p>
    <w:p>
      <w:r>
        <w:t>Source: notebook cell 74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0372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74_plot_0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03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22. t-SNE visualisation for K-Means clusters (subsampled for reasonable runtime)</w:t>
      </w:r>
    </w:p>
    <w:p>
      <w:r>
        <w:t>Source: notebook cell 75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856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75_plot_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85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Notes and limitations</w:t>
      </w:r>
    </w:p>
    <w:p>
      <w:pPr>
        <w:pStyle w:val="ListBullet"/>
      </w:pPr>
      <w:r>
        <w:t>This document is a presentation of saved notebook results, not a fresh rerun of the complete training workflow.</w:t>
      </w:r>
    </w:p>
    <w:p>
      <w:pPr>
        <w:pStyle w:val="ListBullet"/>
      </w:pPr>
      <w:r>
        <w:t>Classification results are evaluated against the dataset's Status labels; class imbalance is visible in the reported supports and clustering counts.</w:t>
      </w:r>
    </w:p>
    <w:p>
      <w:pPr>
        <w:pStyle w:val="ListBullet"/>
      </w:pPr>
      <w:r>
        <w:t>Clustering labels are unsupervised and should not be interpreted as ground-truth health categories without further analysis.</w:t>
      </w:r>
    </w:p>
    <w:p>
      <w:pPr>
        <w:pStyle w:val="ListBullet"/>
      </w:pPr>
      <w:r>
        <w:t>The notebook reports a very small cluster for some configurations; investigate outliers, scaling and the selected cluster count before drawing substantive conclusions.</w:t>
      </w:r>
    </w:p>
    <w:p>
      <w:pPr>
        <w:pStyle w:val="ListBullet"/>
      </w:pPr>
      <w:r>
        <w:t>Keep the dataset attribution/licence and any course-specific reporting requirements in the repository.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