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EDAD" w14:textId="77777777" w:rsidR="001E05FE" w:rsidRDefault="00000000">
      <w:pPr>
        <w:pStyle w:val="Title"/>
        <w:jc w:val="center"/>
      </w:pPr>
      <w:r>
        <w:rPr>
          <w:sz w:val="22"/>
        </w:rPr>
        <w:t>MASTER SOFTWARE LICENSE AND SERVICES AGREEMENT</w:t>
      </w:r>
    </w:p>
    <w:p w14:paraId="2CA9E276" w14:textId="77777777" w:rsidR="001E05FE" w:rsidRDefault="00000000">
      <w:pPr>
        <w:jc w:val="both"/>
      </w:pPr>
      <w:r>
        <w:t>This Master Software License and Services Agreement (this “Agreement”) is entered into as of March 3, 2026 (the “Effective Date”) by and between Vantage Autonomy, Inc., a Delaware corporation with its principal place of business in Pittsburgh, Pennsylvania (“Provider”), and Meridian Motors Corporation, a Michigan corporation with its principal place of business in Auburn Hills, Michigan (“OEM” or “Partner”, and together with Provider, the “Parties”).</w:t>
      </w:r>
    </w:p>
    <w:p w14:paraId="0C618FD4" w14:textId="77777777" w:rsidR="001E05FE" w:rsidRDefault="00000000">
      <w:pPr>
        <w:pStyle w:val="Heading1"/>
      </w:pPr>
      <w:r>
        <w:rPr>
          <w:sz w:val="22"/>
        </w:rPr>
        <w:t>1. Parties</w:t>
      </w:r>
    </w:p>
    <w:p w14:paraId="15D76C05" w14:textId="77777777" w:rsidR="001E05FE" w:rsidRDefault="00000000">
      <w:pPr>
        <w:jc w:val="both"/>
      </w:pPr>
      <w:r>
        <w:t>Provider is in the business of developing, licensing, and supporting an integrated autonomous driving software stack, including perception, planning, and control modules and associated cloud fleet-management services (collectively, the “Autonomy Stack”). OEM designs, manufactures, and distributes passenger and light commercial vehicles under its own and affiliated brands. OEM desires to integrate the Autonomy Stack into certain of its vehicle programs, and Provider desires to license the Autonomy Stack to OEM, in each case subject to the terms and conditions set forth in this Agreement and the Statements of Work to be executed hereunder from time to time.</w:t>
      </w:r>
    </w:p>
    <w:p w14:paraId="0457B18B" w14:textId="77777777" w:rsidR="001E05FE" w:rsidRDefault="00000000">
      <w:pPr>
        <w:pStyle w:val="Heading1"/>
      </w:pPr>
      <w:r>
        <w:rPr>
          <w:sz w:val="22"/>
        </w:rPr>
        <w:t>2. Term</w:t>
      </w:r>
    </w:p>
    <w:p w14:paraId="3342DE0A" w14:textId="77777777" w:rsidR="001E05FE" w:rsidRDefault="00000000">
      <w:pPr>
        <w:jc w:val="both"/>
      </w:pPr>
      <w:r>
        <w:t>This Agreement shall become effective as of the Effective Date and, unless earlier terminated in accordance with Section 7 (Termination), shall remain in force for an initial period of thirty-six (36) months from the Effective Date (the “Initial Term”). The Initial Term, together with any Renewal Term entered into pursuant to Section 8 (Renewal), is referred to herein as the “Term.”</w:t>
      </w:r>
    </w:p>
    <w:p w14:paraId="274CF67B" w14:textId="77777777" w:rsidR="001E05FE" w:rsidRDefault="00000000">
      <w:pPr>
        <w:pStyle w:val="Heading1"/>
      </w:pPr>
      <w:r>
        <w:rPr>
          <w:sz w:val="22"/>
        </w:rPr>
        <w:t>3. Fees &amp; Revenue Share</w:t>
      </w:r>
    </w:p>
    <w:p w14:paraId="4E98A626" w14:textId="77777777" w:rsidR="001E05FE" w:rsidRDefault="00000000">
      <w:pPr>
        <w:jc w:val="both"/>
      </w:pPr>
      <w:r>
        <w:t>In consideration of the rights granted under this Agreement, OEM shall pay Provider a per-unit license fee for each vehicle manufactured with the Autonomy Stack installed, calculated in accordance with the volume pricing schedule set out in Exhibit A below, plus applicable support and over-the-air update fees as described in the relevant Statement of Work.</w:t>
      </w:r>
    </w:p>
    <w:p w14:paraId="512AD4FF" w14:textId="77777777" w:rsidR="001E05FE" w:rsidRDefault="00000000">
      <w:pPr>
        <w:jc w:val="both"/>
      </w:pPr>
      <w:r>
        <w:t>In addition to the per-unit license fee, for any vehicle sold with a post-sale, subscription-based autonomous driving feature package activated by the end customer, the Parties shall share the resulting subscription revenue such that Provider is paid an amount equal to thirty percent (30%) of Net Revenue collected from the end customer for that feature package, with OEM retaining the remaining seventy percent (70%) to cover distribution, dealer, and customer-support costs. “Net Revenue” means gross amounts billed to end customers for the feature package, less taxes, refunds, and payment processing fees actually incurred.</w:t>
      </w:r>
    </w:p>
    <w:p w14:paraId="733A28A1" w14:textId="77777777" w:rsidR="001E05FE" w:rsidRDefault="00000000">
      <w:pPr>
        <w:pStyle w:val="Heading1"/>
      </w:pPr>
      <w:r>
        <w:rPr>
          <w:sz w:val="22"/>
        </w:rPr>
        <w:lastRenderedPageBreak/>
        <w:t>4. Volume Commitments</w:t>
      </w:r>
    </w:p>
    <w:p w14:paraId="19359B35" w14:textId="77777777" w:rsidR="001E05FE" w:rsidRDefault="00000000">
      <w:pPr>
        <w:jc w:val="both"/>
      </w:pPr>
      <w:r>
        <w:t>In order for OEM to remain eligible for the Tier pricing set forth in Exhibit A and to secure production capacity and engineering support from Provider, OEM represents that its current vehicle program plans call for, and OEM agrees to use commercially reasonable efforts to integrate the Autonomy Stack into, no fewer than fifty thousand (50,000) production vehicle units in each twelve (12)-month period during the Initial Term. Should OEM's actual integrated volume in any such period fall below this level, Provider may, upon written notice, adjust the applicable pricing tier prospectively for the following period in accordance with Exhibit A.</w:t>
      </w:r>
    </w:p>
    <w:p w14:paraId="3284D473" w14:textId="77777777" w:rsidR="001E05FE" w:rsidRDefault="00000000">
      <w:pPr>
        <w:pStyle w:val="Heading1"/>
      </w:pPr>
      <w:r>
        <w:rPr>
          <w:sz w:val="22"/>
        </w:rPr>
        <w:t>6. Payment Terms</w:t>
      </w:r>
    </w:p>
    <w:p w14:paraId="2CD71FFD" w14:textId="77777777" w:rsidR="001E05FE" w:rsidRDefault="00000000">
      <w:pPr>
        <w:jc w:val="both"/>
      </w:pPr>
      <w:r>
        <w:t>Provider shall invoice OEM monthly for per-unit license fees accrued during the prior month based on production reporting delivered by OEM, and quarterly for revenue-share amounts owed under Section 3, together with a reconciliation statement. All undisputed amounts are due and payable within forty-five (45) days of the invoice date. Amounts not paid when due shall accrue interest at the lesser of one percent (1%) per month or the maximum rate permitted by applicable law, and OEM shall reimburse Provider's reasonable costs of collection.</w:t>
      </w:r>
    </w:p>
    <w:p w14:paraId="53F2E914" w14:textId="77777777" w:rsidR="001E05FE" w:rsidRDefault="00000000">
      <w:pPr>
        <w:pStyle w:val="Heading1"/>
      </w:pPr>
      <w:r>
        <w:rPr>
          <w:sz w:val="22"/>
        </w:rPr>
        <w:t>7. Termination</w:t>
      </w:r>
    </w:p>
    <w:p w14:paraId="28E478A3" w14:textId="77777777" w:rsidR="001E05FE" w:rsidRDefault="00000000">
      <w:pPr>
        <w:jc w:val="both"/>
      </w:pPr>
      <w:r>
        <w:t>Either Party may terminate this Agreement for cause if the other Party materially breaches any provision of this Agreement and fails to cure such breach within sixty (60) days after receiving written notice describing the breach in reasonable detail. In addition, either Party may terminate this Agreement for convenience at any time after the eighteen (18)-month anniversary of the Effective Date by providing the other Party no less than one hundred eighty (180) days' prior written notice. Provider may additionally suspend or terminate this Agreement immediately upon written notice if OEM undergoes a change of control involving a direct competitor of Provider.</w:t>
      </w:r>
    </w:p>
    <w:p w14:paraId="5FF4CCEB" w14:textId="77777777" w:rsidR="001E05FE" w:rsidRDefault="00000000">
      <w:pPr>
        <w:pStyle w:val="Heading1"/>
      </w:pPr>
      <w:r>
        <w:rPr>
          <w:sz w:val="22"/>
        </w:rPr>
        <w:t>8. Renewal</w:t>
      </w:r>
    </w:p>
    <w:p w14:paraId="4D664D0E" w14:textId="77777777" w:rsidR="001E05FE" w:rsidRDefault="00000000">
      <w:pPr>
        <w:jc w:val="both"/>
      </w:pPr>
      <w:r>
        <w:t>Upon expiration of the Initial Term, this Agreement shall automatically renew for successive twelve (12)-month periods (each, a “Renewal Term”) unless either Party delivers written notice of non-renewal to the other Party at least ninety (90) days prior to the expiration of the then-current Term. The pricing schedule in Exhibit A shall be subject to renegotiation by mutual written agreement of the Parties prior to the start of any Renewal Term, failing which the pricing in effect immediately prior to renewal shall continue to apply.</w:t>
      </w:r>
    </w:p>
    <w:p w14:paraId="68A6EB53" w14:textId="77777777" w:rsidR="001E05FE" w:rsidRDefault="00000000">
      <w:pPr>
        <w:pStyle w:val="Heading1"/>
      </w:pPr>
      <w:r>
        <w:rPr>
          <w:sz w:val="22"/>
        </w:rPr>
        <w:t>9. Confidentiality</w:t>
      </w:r>
    </w:p>
    <w:p w14:paraId="669EB5CD" w14:textId="77777777" w:rsidR="001E05FE" w:rsidRDefault="00000000">
      <w:pPr>
        <w:jc w:val="both"/>
      </w:pPr>
      <w:r>
        <w:t xml:space="preserve">Each Party may disclose to the other certain non-public technical, business, and financial information (“Confidential Information”). The receiving Party shall use Confidential Information solely to perform its obligations under this Agreement, shall protect it using at </w:t>
      </w:r>
      <w:r>
        <w:lastRenderedPageBreak/>
        <w:t>least the same degree of care it uses to protect its own confidential information of like importance (but no less than reasonable care), and shall not disclose it to third parties except to employees, contractors, and affiliates with a need to know and who are bound by confidentiality obligations at least as protective as those herein. These confidentiality obligations shall survive termination or expiration of this Agreement for a period of five (5) years.</w:t>
      </w:r>
    </w:p>
    <w:p w14:paraId="71B173D4" w14:textId="77777777" w:rsidR="001E05FE" w:rsidRDefault="00000000">
      <w:pPr>
        <w:pStyle w:val="Heading1"/>
      </w:pPr>
      <w:r>
        <w:rPr>
          <w:sz w:val="22"/>
        </w:rPr>
        <w:t>10. Governing Law</w:t>
      </w:r>
    </w:p>
    <w:p w14:paraId="3FB57D9B" w14:textId="77777777" w:rsidR="001E05FE" w:rsidRDefault="00000000">
      <w:pPr>
        <w:jc w:val="both"/>
      </w:pPr>
      <w:r>
        <w:t>This Agreement shall be governed by, and construed in accordance with, the laws of the State of Delaware, without regard to its conflict of laws principles. Any dispute arising out of or relating to this Agreement that the Parties are unable to resolve through good-faith negotiation shall be submitted to binding arbitration administered by the American Arbitration Association in Wilmington, Delaware, and judgment on the award rendered may be entered in any court having jurisdiction thereof.</w:t>
      </w:r>
    </w:p>
    <w:p w14:paraId="30A08B3C" w14:textId="77777777" w:rsidR="001E05FE" w:rsidRDefault="00000000">
      <w:pPr>
        <w:pStyle w:val="Heading1"/>
      </w:pPr>
      <w:r>
        <w:rPr>
          <w:sz w:val="22"/>
        </w:rPr>
        <w:t>Exhibit A – Volume-Based Pricing Tiers</w:t>
      </w:r>
    </w:p>
    <w:p w14:paraId="1A0A542A" w14:textId="77777777" w:rsidR="001E05FE" w:rsidRDefault="00000000">
      <w:r>
        <w:t>Per-unit license fees payable under Section 3 are determined by OEM's trailing twelve (12)-month integrated production volume as follows:</w:t>
      </w:r>
    </w:p>
    <w:tbl>
      <w:tblPr>
        <w:tblStyle w:val="LightGrid-Accent1"/>
        <w:tblW w:w="0" w:type="auto"/>
        <w:tblLook w:val="04A0" w:firstRow="1" w:lastRow="0" w:firstColumn="1" w:lastColumn="0" w:noHBand="0" w:noVBand="1"/>
      </w:tblPr>
      <w:tblGrid>
        <w:gridCol w:w="2880"/>
        <w:gridCol w:w="2880"/>
        <w:gridCol w:w="2880"/>
      </w:tblGrid>
      <w:tr w:rsidR="001E05FE" w14:paraId="1EC4DB99" w14:textId="77777777" w:rsidTr="001E05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4BA128" w14:textId="77777777" w:rsidR="001E05FE" w:rsidRDefault="00000000">
            <w:r>
              <w:t>Annual Volume (Units)</w:t>
            </w:r>
          </w:p>
        </w:tc>
        <w:tc>
          <w:tcPr>
            <w:tcW w:w="2880" w:type="dxa"/>
          </w:tcPr>
          <w:p w14:paraId="05724377" w14:textId="77777777" w:rsidR="001E05FE" w:rsidRDefault="00000000">
            <w:pPr>
              <w:cnfStyle w:val="100000000000" w:firstRow="1" w:lastRow="0" w:firstColumn="0" w:lastColumn="0" w:oddVBand="0" w:evenVBand="0" w:oddHBand="0" w:evenHBand="0" w:firstRowFirstColumn="0" w:firstRowLastColumn="0" w:lastRowFirstColumn="0" w:lastRowLastColumn="0"/>
            </w:pPr>
            <w:r>
              <w:t>Tier</w:t>
            </w:r>
          </w:p>
        </w:tc>
        <w:tc>
          <w:tcPr>
            <w:tcW w:w="2880" w:type="dxa"/>
          </w:tcPr>
          <w:p w14:paraId="0B92EE19" w14:textId="77777777" w:rsidR="001E05FE" w:rsidRDefault="00000000">
            <w:pPr>
              <w:cnfStyle w:val="100000000000" w:firstRow="1" w:lastRow="0" w:firstColumn="0" w:lastColumn="0" w:oddVBand="0" w:evenVBand="0" w:oddHBand="0" w:evenHBand="0" w:firstRowFirstColumn="0" w:firstRowLastColumn="0" w:lastRowFirstColumn="0" w:lastRowLastColumn="0"/>
            </w:pPr>
            <w:r>
              <w:t>Per-Unit License Fee (USD)</w:t>
            </w:r>
          </w:p>
        </w:tc>
      </w:tr>
      <w:tr w:rsidR="001E05FE" w14:paraId="3F56351C" w14:textId="77777777" w:rsidTr="001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93E00" w14:textId="77777777" w:rsidR="001E05FE" w:rsidRDefault="00000000">
            <w:r>
              <w:t>0 – 50,000</w:t>
            </w:r>
          </w:p>
        </w:tc>
        <w:tc>
          <w:tcPr>
            <w:tcW w:w="2880" w:type="dxa"/>
          </w:tcPr>
          <w:p w14:paraId="263C2911" w14:textId="77777777" w:rsidR="001E05FE" w:rsidRDefault="00000000">
            <w:pPr>
              <w:cnfStyle w:val="000000100000" w:firstRow="0" w:lastRow="0" w:firstColumn="0" w:lastColumn="0" w:oddVBand="0" w:evenVBand="0" w:oddHBand="1" w:evenHBand="0" w:firstRowFirstColumn="0" w:firstRowLastColumn="0" w:lastRowFirstColumn="0" w:lastRowLastColumn="0"/>
            </w:pPr>
            <w:r>
              <w:t>Tier 1</w:t>
            </w:r>
          </w:p>
        </w:tc>
        <w:tc>
          <w:tcPr>
            <w:tcW w:w="2880" w:type="dxa"/>
          </w:tcPr>
          <w:p w14:paraId="6D004B50" w14:textId="77777777" w:rsidR="001E05FE" w:rsidRDefault="00000000">
            <w:pPr>
              <w:cnfStyle w:val="000000100000" w:firstRow="0" w:lastRow="0" w:firstColumn="0" w:lastColumn="0" w:oddVBand="0" w:evenVBand="0" w:oddHBand="1" w:evenHBand="0" w:firstRowFirstColumn="0" w:firstRowLastColumn="0" w:lastRowFirstColumn="0" w:lastRowLastColumn="0"/>
            </w:pPr>
            <w:r>
              <w:t>$1,200</w:t>
            </w:r>
          </w:p>
        </w:tc>
      </w:tr>
      <w:tr w:rsidR="001E05FE" w14:paraId="5B20AE93" w14:textId="77777777" w:rsidTr="001E05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04AC3" w14:textId="77777777" w:rsidR="001E05FE" w:rsidRDefault="00000000">
            <w:r>
              <w:t>50,001 – 100,000</w:t>
            </w:r>
          </w:p>
        </w:tc>
        <w:tc>
          <w:tcPr>
            <w:tcW w:w="2880" w:type="dxa"/>
          </w:tcPr>
          <w:p w14:paraId="628101A4" w14:textId="77777777" w:rsidR="001E05FE" w:rsidRDefault="00000000">
            <w:pPr>
              <w:cnfStyle w:val="000000010000" w:firstRow="0" w:lastRow="0" w:firstColumn="0" w:lastColumn="0" w:oddVBand="0" w:evenVBand="0" w:oddHBand="0" w:evenHBand="1" w:firstRowFirstColumn="0" w:firstRowLastColumn="0" w:lastRowFirstColumn="0" w:lastRowLastColumn="0"/>
            </w:pPr>
            <w:r>
              <w:t>Tier 2</w:t>
            </w:r>
          </w:p>
        </w:tc>
        <w:tc>
          <w:tcPr>
            <w:tcW w:w="2880" w:type="dxa"/>
          </w:tcPr>
          <w:p w14:paraId="0A28D283" w14:textId="77777777" w:rsidR="001E05FE" w:rsidRDefault="00000000">
            <w:pPr>
              <w:cnfStyle w:val="000000010000" w:firstRow="0" w:lastRow="0" w:firstColumn="0" w:lastColumn="0" w:oddVBand="0" w:evenVBand="0" w:oddHBand="0" w:evenHBand="1" w:firstRowFirstColumn="0" w:firstRowLastColumn="0" w:lastRowFirstColumn="0" w:lastRowLastColumn="0"/>
            </w:pPr>
            <w:r>
              <w:t>$950</w:t>
            </w:r>
          </w:p>
        </w:tc>
      </w:tr>
      <w:tr w:rsidR="001E05FE" w14:paraId="04A427F6" w14:textId="77777777" w:rsidTr="001E05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62615" w14:textId="77777777" w:rsidR="001E05FE" w:rsidRDefault="00000000">
            <w:r>
              <w:t>100,001 – 250,000</w:t>
            </w:r>
          </w:p>
        </w:tc>
        <w:tc>
          <w:tcPr>
            <w:tcW w:w="2880" w:type="dxa"/>
          </w:tcPr>
          <w:p w14:paraId="257F9D97" w14:textId="77777777" w:rsidR="001E05FE" w:rsidRDefault="00000000">
            <w:pPr>
              <w:cnfStyle w:val="000000100000" w:firstRow="0" w:lastRow="0" w:firstColumn="0" w:lastColumn="0" w:oddVBand="0" w:evenVBand="0" w:oddHBand="1" w:evenHBand="0" w:firstRowFirstColumn="0" w:firstRowLastColumn="0" w:lastRowFirstColumn="0" w:lastRowLastColumn="0"/>
            </w:pPr>
            <w:r>
              <w:t>Tier 3</w:t>
            </w:r>
          </w:p>
        </w:tc>
        <w:tc>
          <w:tcPr>
            <w:tcW w:w="2880" w:type="dxa"/>
          </w:tcPr>
          <w:p w14:paraId="2BCD78E8" w14:textId="77777777" w:rsidR="001E05FE" w:rsidRDefault="00000000">
            <w:pPr>
              <w:cnfStyle w:val="000000100000" w:firstRow="0" w:lastRow="0" w:firstColumn="0" w:lastColumn="0" w:oddVBand="0" w:evenVBand="0" w:oddHBand="1" w:evenHBand="0" w:firstRowFirstColumn="0" w:firstRowLastColumn="0" w:lastRowFirstColumn="0" w:lastRowLastColumn="0"/>
            </w:pPr>
            <w:r>
              <w:t>$700</w:t>
            </w:r>
          </w:p>
        </w:tc>
      </w:tr>
      <w:tr w:rsidR="001E05FE" w14:paraId="52CBF644" w14:textId="77777777" w:rsidTr="001E05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9DCD61" w14:textId="77777777" w:rsidR="001E05FE" w:rsidRDefault="00000000">
            <w:r>
              <w:t>250,001+</w:t>
            </w:r>
          </w:p>
        </w:tc>
        <w:tc>
          <w:tcPr>
            <w:tcW w:w="2880" w:type="dxa"/>
          </w:tcPr>
          <w:p w14:paraId="48DCC0E1" w14:textId="77777777" w:rsidR="001E05FE" w:rsidRDefault="00000000">
            <w:pPr>
              <w:cnfStyle w:val="000000010000" w:firstRow="0" w:lastRow="0" w:firstColumn="0" w:lastColumn="0" w:oddVBand="0" w:evenVBand="0" w:oddHBand="0" w:evenHBand="1" w:firstRowFirstColumn="0" w:firstRowLastColumn="0" w:lastRowFirstColumn="0" w:lastRowLastColumn="0"/>
            </w:pPr>
            <w:r>
              <w:t>Tier 4</w:t>
            </w:r>
          </w:p>
        </w:tc>
        <w:tc>
          <w:tcPr>
            <w:tcW w:w="2880" w:type="dxa"/>
          </w:tcPr>
          <w:p w14:paraId="57E04BE2" w14:textId="77777777" w:rsidR="001E05FE" w:rsidRDefault="00000000">
            <w:pPr>
              <w:cnfStyle w:val="000000010000" w:firstRow="0" w:lastRow="0" w:firstColumn="0" w:lastColumn="0" w:oddVBand="0" w:evenVBand="0" w:oddHBand="0" w:evenHBand="1" w:firstRowFirstColumn="0" w:firstRowLastColumn="0" w:lastRowFirstColumn="0" w:lastRowLastColumn="0"/>
            </w:pPr>
            <w:r>
              <w:t>$525</w:t>
            </w:r>
          </w:p>
        </w:tc>
      </w:tr>
    </w:tbl>
    <w:p w14:paraId="75B36E62" w14:textId="77777777" w:rsidR="007D44EE" w:rsidRDefault="007D44EE"/>
    <w:sectPr w:rsidR="007D44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540834">
    <w:abstractNumId w:val="8"/>
  </w:num>
  <w:num w:numId="2" w16cid:durableId="767312942">
    <w:abstractNumId w:val="6"/>
  </w:num>
  <w:num w:numId="3" w16cid:durableId="462120425">
    <w:abstractNumId w:val="5"/>
  </w:num>
  <w:num w:numId="4" w16cid:durableId="331226411">
    <w:abstractNumId w:val="4"/>
  </w:num>
  <w:num w:numId="5" w16cid:durableId="1782067652">
    <w:abstractNumId w:val="7"/>
  </w:num>
  <w:num w:numId="6" w16cid:durableId="633370476">
    <w:abstractNumId w:val="3"/>
  </w:num>
  <w:num w:numId="7" w16cid:durableId="71660284">
    <w:abstractNumId w:val="2"/>
  </w:num>
  <w:num w:numId="8" w16cid:durableId="1920745455">
    <w:abstractNumId w:val="1"/>
  </w:num>
  <w:num w:numId="9" w16cid:durableId="134552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5FE"/>
    <w:rsid w:val="0029639D"/>
    <w:rsid w:val="00326F90"/>
    <w:rsid w:val="00406A6B"/>
    <w:rsid w:val="007D44EE"/>
    <w:rsid w:val="00AA1D8D"/>
    <w:rsid w:val="00B12A1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4C9D1"/>
  <w14:defaultImageDpi w14:val="300"/>
  <w15:docId w15:val="{F38F83CD-E7D0-40FA-8E49-F4407624A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Rakshith R</cp:lastModifiedBy>
  <cp:revision>2</cp:revision>
  <dcterms:created xsi:type="dcterms:W3CDTF">2013-12-23T23:15:00Z</dcterms:created>
  <dcterms:modified xsi:type="dcterms:W3CDTF">2026-09-09T11:36:00Z</dcterms:modified>
  <cp:category/>
</cp:coreProperties>
</file>