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after="100"/>
        <w:jc w:val="center"/>
      </w:pPr>
      <w:r>
        <w:rPr>
          <w:rFonts w:ascii="Arial" w:cs="Arial" w:eastAsia="Arial" w:hAnsi="Arial"/>
          <w:color w:val="666666"/>
          <w:spacing w:val="200"/>
          <w:sz w:val="22"/>
          <w:szCs w:val="22"/>
        </w:rPr>
        <w:t xml:space="preserve">EQUITY RESEARCH</w:t>
      </w:r>
    </w:p>
    <w:p>
      <w:pPr>
        <w:pBdr>
          <w:bottom w:val="single" w:color="1B3A5C" w:sz="6" w:space="8"/>
        </w:pBdr>
        <w:spacing w:after="40"/>
        <w:jc w:val="center"/>
      </w:pPr>
      <w:r>
        <w:rPr>
          <w:rFonts w:ascii="Arial" w:cs="Arial" w:eastAsia="Arial" w:hAnsi="Arial"/>
          <w:b/>
          <w:bCs/>
          <w:color w:val="1B3A5C"/>
          <w:sz w:val="48"/>
          <w:szCs w:val="48"/>
        </w:rPr>
        <w:t xml:space="preserve">CITY UNION BANK LIMITED</w:t>
      </w:r>
    </w:p>
    <w:p>
      <w:pPr>
        <w:spacing w:before="200" w:after="60"/>
        <w:jc w:val="center"/>
      </w:pPr>
      <w:r>
        <w:rPr>
          <w:rFonts w:ascii="Arial" w:cs="Arial" w:eastAsia="Arial" w:hAnsi="Arial"/>
          <w:color w:val="2E5090"/>
          <w:sz w:val="24"/>
          <w:szCs w:val="24"/>
        </w:rPr>
        <w:t xml:space="preserve">NSE: CUB  |  BSE: 532210</w:t>
      </w:r>
    </w:p>
    <w:p>
      <w:pPr>
        <w:spacing w:after="100"/>
        <w:jc w:val="center"/>
      </w:pPr>
      <w:r>
        <w:rPr>
          <w:rFonts w:ascii="Arial" w:cs="Arial" w:eastAsia="Arial" w:hAnsi="Arial"/>
          <w:color w:val="666666"/>
          <w:sz w:val="26"/>
          <w:szCs w:val="26"/>
        </w:rPr>
        <w:t xml:space="preserve">Comprehensive Fundamental Analysis</w:t>
      </w:r>
    </w:p>
    <w:p>
      <w:pPr>
        <w:spacing w:before="40" w:after="40"/>
      </w:pPr>
    </w:p>
    <w:p>
      <w:pPr>
        <w:spacing w:before="40" w:after="40"/>
      </w:pPr>
    </w:p>
    <w:p>
      <w:pPr>
        <w:spacing w:after="60"/>
        <w:jc w:val="center"/>
      </w:pPr>
      <w:r>
        <w:rPr>
          <w:rFonts w:ascii="Arial" w:cs="Arial" w:eastAsia="Arial" w:hAnsi="Arial"/>
          <w:color w:val="666666"/>
          <w:sz w:val="20"/>
          <w:szCs w:val="20"/>
        </w:rPr>
        <w:t xml:space="preserve">Based on Earnings Conference Calls: Q3 FY25 through Q3 FY26</w:t>
      </w:r>
    </w:p>
    <w:p>
      <w:pPr>
        <w:spacing w:after="60"/>
        <w:jc w:val="center"/>
      </w:pPr>
      <w:r>
        <w:rPr>
          <w:rFonts w:ascii="Arial" w:cs="Arial" w:eastAsia="Arial" w:hAnsi="Arial"/>
          <w:color w:val="666666"/>
          <w:sz w:val="20"/>
          <w:szCs w:val="20"/>
        </w:rPr>
        <w:t xml:space="preserve">(January 2025 - February 2026)</w:t>
      </w:r>
    </w:p>
    <w:p>
      <w:pPr>
        <w:spacing w:before="40" w:after="40"/>
      </w:pPr>
    </w:p>
    <w:p>
      <w:pPr>
        <w:spacing w:before="40" w:after="40"/>
      </w:pPr>
    </w:p>
    <w:p>
      <w:pPr>
        <w:spacing w:before="40" w:after="40"/>
      </w:pPr>
    </w:p>
    <w:p>
      <w:pPr>
        <w:spacing w:before="40" w:after="40"/>
      </w:pPr>
    </w:p>
    <w:p>
      <w:pPr>
        <w:spacing w:before="40" w:after="40"/>
      </w:pPr>
    </w:p>
    <w:p>
      <w:pPr>
        <w:spacing w:before="40" w:after="40"/>
      </w:pPr>
    </w:p>
    <w:p>
      <w:pPr>
        <w:pBdr>
          <w:top w:val="single" w:color="E8E8E8" w:sz="2" w:space="8"/>
        </w:pBdr>
        <w:spacing w:before="200"/>
        <w:jc w:val="center"/>
      </w:pPr>
      <w:r>
        <w:rPr>
          <w:rFonts w:ascii="Arial" w:cs="Arial" w:eastAsia="Arial" w:hAnsi="Arial"/>
          <w:color w:val="666666"/>
          <w:sz w:val="20"/>
          <w:szCs w:val="20"/>
        </w:rPr>
        <w:t xml:space="preserve">Report Date: March 10, 2026</w:t>
      </w:r>
    </w:p>
    <w:p>
      <w:pPr>
        <w:spacing w:after="60"/>
        <w:jc w:val="center"/>
      </w:pPr>
      <w:r>
        <w:rPr>
          <w:rFonts w:ascii="Arial" w:cs="Arial" w:eastAsia="Arial" w:hAnsi="Arial"/>
          <w:color w:val="666666"/>
          <w:sz w:val="20"/>
          <w:szCs w:val="20"/>
        </w:rPr>
        <w:t xml:space="preserve">Prepared for: Rakshit Virmani</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0"/>
          <w:szCs w:val="30"/>
        </w:rPr>
        <w:t xml:space="preserve">1. Executive Summary</w:t>
      </w:r>
    </w:p>
    <w:p>
      <w:pPr>
        <w:spacing w:before="80" w:after="80" w:line="276"/>
        <w:jc w:val="both"/>
      </w:pPr>
      <w:r>
        <w:rPr>
          <w:rFonts w:ascii="Arial" w:cs="Arial" w:eastAsia="Arial" w:hAnsi="Arial"/>
          <w:b w:val="false"/>
          <w:bCs w:val="false"/>
          <w:i w:val="false"/>
          <w:iCs w:val="false"/>
          <w:color w:val="333333"/>
          <w:sz w:val="21"/>
          <w:szCs w:val="21"/>
        </w:rPr>
        <w:t xml:space="preserve">City Union Bank (CUB), established in 1904 and headquartered in Kumbakonam, Tamil Nadu, is a 121-year-old private sector bank that has transformed from a regional player into a high-growth MSME-focused lender. Under the 15-year stewardship of Dr. N. Kamakodi (MD &amp; CEO), CUB has built a conservative, secured-lending franchise that is now firing on all cylinders.</w:t>
      </w:r>
    </w:p>
    <w:p>
      <w:pPr>
        <w:spacing w:before="80" w:after="80" w:line="276"/>
        <w:jc w:val="both"/>
      </w:pPr>
      <w:r>
        <w:rPr>
          <w:rFonts w:ascii="Arial" w:cs="Arial" w:eastAsia="Arial" w:hAnsi="Arial"/>
          <w:b w:val="false"/>
          <w:bCs w:val="false"/>
          <w:i w:val="false"/>
          <w:iCs w:val="false"/>
          <w:color w:val="333333"/>
          <w:sz w:val="21"/>
          <w:szCs w:val="21"/>
        </w:rPr>
        <w:t xml:space="preserve">The bank is experiencing its strongest growth phase in over four decades. Q3 FY26 delivered 21% YoY advance growth (highest since FY80), GNPA dropped to 2.17% (from 3.99% just two years ago), NNPA fell to 0.78%, and NIM expanded to 3.89%. For 9M FY26, PAT grew 16% to INR 967 Cr with ROA at 1.55%. Net worth has crossed the INR 10,000 Cr milestone. The bank has achieved 7 consecutive quarters of double-digit credit growth while maintaining negative net slippages (recoveries exceeding fresh slippages).</w:t>
      </w:r>
    </w:p>
    <w:p>
      <w:pPr>
        <w:spacing w:before="80" w:after="80" w:line="276"/>
        <w:jc w:val="both"/>
      </w:pPr>
      <w:r>
        <w:rPr>
          <w:rFonts w:ascii="Arial" w:cs="Arial" w:eastAsia="Arial" w:hAnsi="Arial"/>
          <w:b w:val="false"/>
          <w:bCs w:val="false"/>
          <w:i w:val="false"/>
          <w:iCs w:val="false"/>
          <w:color w:val="333333"/>
          <w:sz w:val="21"/>
          <w:szCs w:val="21"/>
        </w:rPr>
        <w:t xml:space="preserve">The thesis here is straightforward: CUB is a well-run bank in the midst of a structural re-rating cycle, transitioning from a slow-growth conservative lender to a high-teens growth compounder. With NIM expansion tailwinds from deposit repricing, a clean-up of legacy NPAs nearly complete, new retail verticals scaling up, and a renewable energy lending opportunity, the bank is entering FY27 with possibly its best-ever operating metrics.</w:t>
      </w:r>
    </w:p>
    <w:p>
      <w:pPr>
        <w:spacing w:before="40" w:after="40"/>
      </w:pPr>
    </w:p>
    <w:p>
      <w:pPr>
        <w:pStyle w:val="Heading1"/>
        <w:spacing w:before="360" w:after="200"/>
      </w:pPr>
      <w:r>
        <w:rPr>
          <w:rFonts w:ascii="Arial" w:cs="Arial" w:eastAsia="Arial" w:hAnsi="Arial"/>
          <w:b/>
          <w:bCs/>
          <w:color w:val="1B3A5C"/>
          <w:sz w:val="30"/>
          <w:szCs w:val="30"/>
        </w:rPr>
        <w:t xml:space="preserve">2. Business Model Deep Dive</w:t>
      </w:r>
    </w:p>
    <w:p>
      <w:pPr>
        <w:pStyle w:val="Heading2"/>
        <w:spacing w:before="280" w:after="160"/>
      </w:pPr>
      <w:r>
        <w:rPr>
          <w:rFonts w:ascii="Arial" w:cs="Arial" w:eastAsia="Arial" w:hAnsi="Arial"/>
          <w:b/>
          <w:bCs/>
          <w:color w:val="2E5090"/>
          <w:sz w:val="26"/>
          <w:szCs w:val="26"/>
        </w:rPr>
        <w:t xml:space="preserve">2.1 Core Lending Engine</w:t>
      </w:r>
    </w:p>
    <w:p>
      <w:pPr>
        <w:spacing w:before="80" w:after="80" w:line="276"/>
        <w:jc w:val="both"/>
      </w:pPr>
      <w:r>
        <w:rPr>
          <w:rFonts w:ascii="Arial" w:cs="Arial" w:eastAsia="Arial" w:hAnsi="Arial"/>
          <w:b w:val="false"/>
          <w:bCs w:val="false"/>
          <w:i w:val="false"/>
          <w:iCs w:val="false"/>
          <w:color w:val="333333"/>
          <w:sz w:val="21"/>
          <w:szCs w:val="21"/>
        </w:rPr>
        <w:t xml:space="preserve">CUB operates a three-pillar lending model built entirely on secured assets, which is the foundation of its consistently low credit costs:</w:t>
      </w:r>
    </w:p>
    <w:p>
      <w:pPr>
        <w:spacing w:before="80" w:after="80" w:line="276"/>
        <w:jc w:val="both"/>
      </w:pPr>
      <w:r>
        <w:rPr>
          <w:rFonts w:ascii="Arial" w:cs="Arial" w:eastAsia="Arial" w:hAnsi="Arial"/>
          <w:b/>
          <w:bCs/>
          <w:color w:val="333333"/>
          <w:sz w:val="21"/>
          <w:szCs w:val="21"/>
        </w:rPr>
        <w:t xml:space="preserve">MSME Secured Lending (~60% of advances): </w:t>
      </w:r>
      <w:r>
        <w:rPr>
          <w:rFonts w:ascii="Arial" w:cs="Arial" w:eastAsia="Arial" w:hAnsi="Arial"/>
          <w:color w:val="333333"/>
          <w:sz w:val="21"/>
          <w:szCs w:val="21"/>
        </w:rPr>
        <w:t xml:space="preserve">This is the bread and butter. CUB lends to small businesses primarily against collateral (property, plant, machinery). MSME grew 23% in FY25 and contributed INR 4,000 Cr of the INR 6,500 Cr total credit growth that year. The yield on MSME is stable at approximately 9.5%, making it a high-margin, secured business line. The bank uses BCG-designed processes and Newgen digital lending platform for MSME underwriting.</w:t>
      </w:r>
    </w:p>
    <w:p>
      <w:pPr>
        <w:spacing w:before="80" w:after="80" w:line="276"/>
        <w:jc w:val="both"/>
      </w:pPr>
      <w:r>
        <w:rPr>
          <w:rFonts w:ascii="Arial" w:cs="Arial" w:eastAsia="Arial" w:hAnsi="Arial"/>
          <w:b/>
          <w:bCs/>
          <w:color w:val="333333"/>
          <w:sz w:val="21"/>
          <w:szCs w:val="21"/>
        </w:rPr>
        <w:t xml:space="preserve">Gold Loans (~30% of book): </w:t>
      </w:r>
      <w:r>
        <w:rPr>
          <w:rFonts w:ascii="Arial" w:cs="Arial" w:eastAsia="Arial" w:hAnsi="Arial"/>
          <w:color w:val="333333"/>
          <w:sz w:val="21"/>
          <w:szCs w:val="21"/>
        </w:rPr>
        <w:t xml:space="preserve">A defensive, high-margin business. CUB has smartly migrated gold loans from floating rate to fixed rate, insulating this book from rate-cut pressures. LTV at onboarding is around 65%, rising to 72-73% with interest capitalization, and on a book basis approximately 55% after gold price appreciation. The tenure is 12 months for non-agri and 18-24 months for agri gold loans.</w:t>
      </w:r>
    </w:p>
    <w:p>
      <w:pPr>
        <w:spacing w:before="80" w:after="80" w:line="276"/>
        <w:jc w:val="both"/>
      </w:pPr>
      <w:r>
        <w:rPr>
          <w:rFonts w:ascii="Arial" w:cs="Arial" w:eastAsia="Arial" w:hAnsi="Arial"/>
          <w:b/>
          <w:bCs/>
          <w:color w:val="333333"/>
          <w:sz w:val="21"/>
          <w:szCs w:val="21"/>
        </w:rPr>
        <w:t xml:space="preserve">Secured Retail (Emerging, ~5-8% of book): </w:t>
      </w:r>
      <w:r>
        <w:rPr>
          <w:rFonts w:ascii="Arial" w:cs="Arial" w:eastAsia="Arial" w:hAnsi="Arial"/>
          <w:color w:val="333333"/>
          <w:sz w:val="21"/>
          <w:szCs w:val="21"/>
        </w:rPr>
        <w:t xml:space="preserve">Launched recently with LAP (Loan Against Property), Home Loans, Affordable Housing, and Micro LAP. In Q1 FY26 alone, retail disbursed INR 825 Cr (80% branch-sourced, only 10-15% via DSAs). Yields are attractive: LAP at 9.4-9.5%, Affordable Housing offering double-digit yields, and Home Loans at 8.8-9%. This vertical is the growth engine being built for the next 3-5 years.</w:t>
      </w:r>
    </w:p>
    <w:p>
      <w:pPr>
        <w:spacing w:before="40" w:after="40"/>
      </w:pPr>
    </w:p>
    <w:p>
      <w:pPr>
        <w:pStyle w:val="Heading2"/>
        <w:spacing w:before="280" w:after="160"/>
      </w:pPr>
      <w:r>
        <w:rPr>
          <w:rFonts w:ascii="Arial" w:cs="Arial" w:eastAsia="Arial" w:hAnsi="Arial"/>
          <w:b/>
          <w:bCs/>
          <w:color w:val="2E5090"/>
          <w:sz w:val="26"/>
          <w:szCs w:val="26"/>
        </w:rPr>
        <w:t xml:space="preserve">2.2 Deposit Franchise</w:t>
      </w:r>
    </w:p>
    <w:p>
      <w:pPr>
        <w:spacing w:before="80" w:after="80" w:line="276"/>
        <w:jc w:val="both"/>
      </w:pPr>
      <w:r>
        <w:rPr>
          <w:rFonts w:ascii="Arial" w:cs="Arial" w:eastAsia="Arial" w:hAnsi="Arial"/>
          <w:b w:val="false"/>
          <w:bCs w:val="false"/>
          <w:i w:val="false"/>
          <w:iCs w:val="false"/>
          <w:color w:val="333333"/>
          <w:sz w:val="21"/>
          <w:szCs w:val="21"/>
        </w:rPr>
        <w:t xml:space="preserve">CUB operates with a CD ratio target of 85-86%, with deposits at INR 70,516 Cr as of Q3 FY26 (21% YoY growth). CASA stands at 27%, which is low by industry standards but typical for a South Indian bank focused on term deposits. The key story here is cost optimization: the bank has been aggressively repricing its deposit book downward. Cost of deposits declined from 5.95% to 5.71% to 5.57% over the last three quarters, with INR 14,200 Cr repriced in Q3 and another INR 1,782 Cr pending. The bank received an AA rating, opening up the wholesale CD (Certificate of Deposit) market as a liquidity management tool.</w:t>
      </w:r>
    </w:p>
    <w:p>
      <w:pPr>
        <w:spacing w:before="40" w:after="40"/>
      </w:pPr>
    </w:p>
    <w:p>
      <w:pPr>
        <w:pStyle w:val="Heading2"/>
        <w:spacing w:before="280" w:after="160"/>
      </w:pPr>
      <w:r>
        <w:rPr>
          <w:rFonts w:ascii="Arial" w:cs="Arial" w:eastAsia="Arial" w:hAnsi="Arial"/>
          <w:b/>
          <w:bCs/>
          <w:color w:val="2E5090"/>
          <w:sz w:val="26"/>
          <w:szCs w:val="26"/>
        </w:rPr>
        <w:t xml:space="preserve">2.3 Revenue Mix</w:t>
      </w:r>
    </w:p>
    <w:p>
      <w:pPr>
        <w:spacing w:before="80" w:after="80" w:line="276"/>
        <w:jc w:val="both"/>
      </w:pPr>
      <w:r>
        <w:rPr>
          <w:rFonts w:ascii="Arial" w:cs="Arial" w:eastAsia="Arial" w:hAnsi="Arial"/>
          <w:b w:val="false"/>
          <w:bCs w:val="false"/>
          <w:i w:val="false"/>
          <w:iCs w:val="false"/>
          <w:color w:val="333333"/>
          <w:sz w:val="21"/>
          <w:szCs w:val="21"/>
        </w:rPr>
        <w:t xml:space="preserve">Interest income for 9M FY26 grew 17% to INR 5,014 Cr. Other income grew 16% to INR 748 Cr, driven by insurance commission growth (79% in H1), processing charges, and treasury income. The bank acknowledges treasury profit opportunities are declining but is compensating through fee-based income streams. The yield on advances stands at 9.73%, marginally down from 9.81% YoY but stable sequentially.</w:t>
      </w:r>
    </w:p>
    <w:p>
      <w:pPr>
        <w:spacing w:before="40" w:after="40"/>
      </w:pPr>
    </w:p>
    <w:p>
      <w:pPr>
        <w:pStyle w:val="Heading2"/>
        <w:spacing w:before="280" w:after="160"/>
      </w:pPr>
      <w:r>
        <w:rPr>
          <w:rFonts w:ascii="Arial" w:cs="Arial" w:eastAsia="Arial" w:hAnsi="Arial"/>
          <w:b/>
          <w:bCs/>
          <w:color w:val="2E5090"/>
          <w:sz w:val="26"/>
          <w:szCs w:val="26"/>
        </w:rPr>
        <w:t xml:space="preserve">2.4 Geographic &amp; Branch Strategy</w:t>
      </w:r>
    </w:p>
    <w:p>
      <w:pPr>
        <w:spacing w:before="80" w:after="80" w:line="276"/>
        <w:jc w:val="both"/>
      </w:pPr>
      <w:r>
        <w:rPr>
          <w:rFonts w:ascii="Arial" w:cs="Arial" w:eastAsia="Arial" w:hAnsi="Arial"/>
          <w:b w:val="false"/>
          <w:bCs w:val="false"/>
          <w:i w:val="false"/>
          <w:iCs w:val="false"/>
          <w:color w:val="333333"/>
          <w:sz w:val="21"/>
          <w:szCs w:val="21"/>
        </w:rPr>
        <w:t xml:space="preserve">CUB has approximately 800+ branches concentrated in Tamil Nadu and South India. The bank is adding 75-80 branches per year, with a near-term target of 850-875 branches. The retail expansion via DSAs is focused on North and West India, but DSA sourcing is deliberately kept below 10-15% of total retail origination to maintain underwriting quality. Rural branches are being leveraged for affordable housing loans.</w:t>
      </w:r>
    </w:p>
    <w:p>
      <w:pPr>
        <w:spacing w:before="40" w:after="40"/>
      </w:pPr>
    </w:p>
    <w:p>
      <w:pPr>
        <w:pStyle w:val="Heading1"/>
        <w:spacing w:before="360" w:after="200"/>
      </w:pPr>
      <w:r>
        <w:rPr>
          <w:rFonts w:ascii="Arial" w:cs="Arial" w:eastAsia="Arial" w:hAnsi="Arial"/>
          <w:b/>
          <w:bCs/>
          <w:color w:val="1B3A5C"/>
          <w:sz w:val="30"/>
          <w:szCs w:val="30"/>
        </w:rPr>
        <w:t xml:space="preserve">3. Financial Performance Tracker</w:t>
      </w:r>
    </w:p>
    <w:p>
      <w:pPr>
        <w:pStyle w:val="Heading2"/>
        <w:spacing w:before="280" w:after="160"/>
      </w:pPr>
      <w:r>
        <w:rPr>
          <w:rFonts w:ascii="Arial" w:cs="Arial" w:eastAsia="Arial" w:hAnsi="Arial"/>
          <w:b/>
          <w:bCs/>
          <w:color w:val="2E5090"/>
          <w:sz w:val="26"/>
          <w:szCs w:val="26"/>
        </w:rPr>
        <w:t xml:space="preserve">3.1 Key Metrics Evolution (Q3 FY25 to Q3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4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Q3 FY25</w:t>
            </w:r>
          </w:p>
        </w:tc>
        <w:tc>
          <w:tcPr>
            <w:tcW w:type="dxa" w:w="14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Q4 FY25</w:t>
            </w:r>
          </w:p>
        </w:tc>
        <w:tc>
          <w:tcPr>
            <w:tcW w:type="dxa" w:w="14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Q1 FY26</w:t>
            </w:r>
          </w:p>
        </w:tc>
        <w:tc>
          <w:tcPr>
            <w:tcW w:type="dxa" w:w="14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Q2 FY26</w:t>
            </w:r>
          </w:p>
        </w:tc>
        <w:tc>
          <w:tcPr>
            <w:tcW w:type="dxa" w:w="143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Q3 FY26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Advances (INR Cr)</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50,409</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53,066</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54,020</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57,561</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60,892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Adv. Growth YoY</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14.6%</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Deposits (INR Cr)</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58,271</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63,526</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65,734</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69,486</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70,516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GNPA %</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3.36%</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3.09%</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2.99%</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2.42%</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NNPA %</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1.42%</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1.25%</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0.90%</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NIM %</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3.58%</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3.54%</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3.63%</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ROA %</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1.57%</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1.59%</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CIR %</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46.58%</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47.77%</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48.12%</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49.16%</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48.56%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PAT (INR Cr)</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286</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288</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306</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329</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PCR with TW</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78%</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79%</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82%</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PCR without TW</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c>
          <w:tcPr>
            <w:tcW w:type="dxa" w:w="143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SMA2 %</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1.59%</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1.34%</w:t>
            </w:r>
          </w:p>
        </w:tc>
        <w:tc>
          <w:tcPr>
            <w:tcW w:type="dxa" w:w="1432"/>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0.95%</w:t>
            </w:r>
          </w:p>
        </w:tc>
      </w:tr>
    </w:tbl>
    <w:p>
      <w:pPr>
        <w:spacing w:before="40" w:after="40"/>
      </w:pPr>
    </w:p>
    <w:p>
      <w:pPr>
        <w:pStyle w:val="Heading2"/>
        <w:spacing w:before="280" w:after="160"/>
      </w:pPr>
      <w:r>
        <w:rPr>
          <w:rFonts w:ascii="Arial" w:cs="Arial" w:eastAsia="Arial" w:hAnsi="Arial"/>
          <w:b/>
          <w:bCs/>
          <w:color w:val="2E5090"/>
          <w:sz w:val="26"/>
          <w:szCs w:val="26"/>
        </w:rPr>
        <w:t xml:space="preserve">3.2 Profitability Trajectory</w:t>
      </w:r>
    </w:p>
    <w:p>
      <w:pPr>
        <w:spacing w:before="80" w:after="80" w:line="276"/>
        <w:jc w:val="both"/>
      </w:pPr>
      <w:r>
        <w:rPr>
          <w:rFonts w:ascii="Arial" w:cs="Arial" w:eastAsia="Arial" w:hAnsi="Arial"/>
          <w:b w:val="false"/>
          <w:bCs w:val="false"/>
          <w:i w:val="false"/>
          <w:iCs w:val="false"/>
          <w:color w:val="333333"/>
          <w:sz w:val="21"/>
          <w:szCs w:val="21"/>
        </w:rPr>
        <w:t xml:space="preserve">The PAT trajectory tells a compelling story. CUB crossed INR 300 Cr quarterly PAT for the first time in Q1 FY26 and has since maintained that run-rate. FY25 PAT was INR 1,124 Cr (+11% YoY), and 9M FY26 is already at INR 967 Cr (+16% growth), putting the bank on track for INR 1,300+ Cr PAT for FY26. Operating profit for 9M FY26 grew 16% to INR 1,435 Cr. The bank has maintained ROA above 1.5% consistently, which is its stated long-term floor.</w:t>
      </w:r>
    </w:p>
    <w:p>
      <w:pPr>
        <w:spacing w:before="40" w:after="40"/>
      </w:pPr>
    </w:p>
    <w:p>
      <w:pPr>
        <w:pStyle w:val="Heading2"/>
        <w:spacing w:before="280" w:after="160"/>
      </w:pPr>
      <w:r>
        <w:rPr>
          <w:rFonts w:ascii="Arial" w:cs="Arial" w:eastAsia="Arial" w:hAnsi="Arial"/>
          <w:b/>
          <w:bCs/>
          <w:color w:val="2E5090"/>
          <w:sz w:val="26"/>
          <w:szCs w:val="26"/>
        </w:rPr>
        <w:t xml:space="preserve">3.3 Asset Quality Clean-Up</w:t>
      </w:r>
    </w:p>
    <w:p>
      <w:pPr>
        <w:spacing w:before="80" w:after="80" w:line="276"/>
        <w:jc w:val="both"/>
      </w:pPr>
      <w:r>
        <w:rPr>
          <w:rFonts w:ascii="Arial" w:cs="Arial" w:eastAsia="Arial" w:hAnsi="Arial"/>
          <w:b w:val="false"/>
          <w:bCs w:val="false"/>
          <w:i w:val="false"/>
          <w:iCs w:val="false"/>
          <w:color w:val="333333"/>
          <w:sz w:val="21"/>
          <w:szCs w:val="21"/>
        </w:rPr>
        <w:t xml:space="preserve">This is perhaps the most impressive aspect of CUB's current trajectory. GNPA has declined for 11 consecutive quarters, falling from 4.56% (peak) to 2.17% in Q3 FY26 - a 239 bps improvement. NNPA breached below 1% in Q2 FY26 (0.90%) for the first time in 46 quarters and has further improved to 0.78%. The restructured book has shrunk from INR 2,248 Cr (FY21-22 peak) to INR 593 Cr. SMA-2 has come below 1% at 0.95%, and total SMA declined from double digits to 3.68%. Recoveries have consistently exceeded slippages, resulting in negative net slippages for multiple quarters. PCR with technical write-offs has improved to 83%, and PCR without TW to 64%.</w:t>
      </w:r>
    </w:p>
    <w:p>
      <w:pPr>
        <w:spacing w:before="40" w:after="40"/>
      </w:pPr>
    </w:p>
    <w:p>
      <w:pPr>
        <w:pStyle w:val="Heading2"/>
        <w:spacing w:before="280" w:after="160"/>
      </w:pPr>
      <w:r>
        <w:rPr>
          <w:rFonts w:ascii="Arial" w:cs="Arial" w:eastAsia="Arial" w:hAnsi="Arial"/>
          <w:b/>
          <w:bCs/>
          <w:color w:val="2E5090"/>
          <w:sz w:val="26"/>
          <w:szCs w:val="26"/>
        </w:rPr>
        <w:t xml:space="preserve">3.4 NIM Expansion Story</w:t>
      </w:r>
    </w:p>
    <w:p>
      <w:pPr>
        <w:spacing w:before="80" w:after="80" w:line="276"/>
        <w:jc w:val="both"/>
      </w:pPr>
      <w:r>
        <w:rPr>
          <w:rFonts w:ascii="Arial" w:cs="Arial" w:eastAsia="Arial" w:hAnsi="Arial"/>
          <w:b w:val="false"/>
          <w:bCs w:val="false"/>
          <w:i w:val="false"/>
          <w:iCs w:val="false"/>
          <w:color w:val="333333"/>
          <w:sz w:val="21"/>
          <w:szCs w:val="21"/>
        </w:rPr>
        <w:t xml:space="preserve">NIM expanded sharply from 3.54% in Q1 FY26 to 3.89% in Q3 FY26, a 35 bps improvement in just two quarters. This is driven by three factors: (a) aggressive deposit repricing - cost of deposits fell 38 bps from 5.95% to 5.57% over three quarters, (b) gold loan migration to fixed rate protecting yield on the asset side, and (c) CRR cut releasing additional liquidity. For FY27, management's endeavour is to operate in the 3.75-4.0% NIM band, which was achieved in the previous rate cycle. Even with further rate cuts, the deposit repricing tailwind should keep NIM stable to expanding.</w:t>
      </w:r>
    </w:p>
    <w:p>
      <w:pPr>
        <w:spacing w:before="40" w:after="40"/>
      </w:pPr>
    </w:p>
    <w:p>
      <w:pPr>
        <w:pStyle w:val="Heading1"/>
        <w:spacing w:before="360" w:after="200"/>
      </w:pPr>
      <w:r>
        <w:rPr>
          <w:rFonts w:ascii="Arial" w:cs="Arial" w:eastAsia="Arial" w:hAnsi="Arial"/>
          <w:b/>
          <w:bCs/>
          <w:color w:val="1B3A5C"/>
          <w:sz w:val="30"/>
          <w:szCs w:val="30"/>
        </w:rPr>
        <w:t xml:space="preserve">4. Red Flags Assessment</w:t>
      </w:r>
    </w:p>
    <w:p>
      <w:pPr>
        <w:spacing w:before="80" w:after="80" w:line="276"/>
        <w:jc w:val="both"/>
      </w:pPr>
      <w:r>
        <w:rPr>
          <w:rFonts w:ascii="Arial" w:cs="Arial" w:eastAsia="Arial" w:hAnsi="Arial"/>
          <w:b w:val="false"/>
          <w:bCs w:val="false"/>
          <w:i w:val="false"/>
          <w:iCs w:val="false"/>
          <w:color w:val="333333"/>
          <w:sz w:val="21"/>
          <w:szCs w:val="21"/>
        </w:rPr>
        <w:t xml:space="preserve">Every investment thesis must be stress-tested against potential risks. Below are the identified red flags with severity ratings: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c>
          <w:tcPr>
            <w:tcW w:type="dxa" w:w="4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Red Flag</w:t>
            </w:r>
          </w:p>
        </w:tc>
        <w:tc>
          <w:tcPr>
            <w:tcW w:type="dxa" w:w="10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Rating</w:t>
            </w:r>
          </w:p>
        </w:tc>
        <w:tc>
          <w:tcPr>
            <w:tcW w:type="dxa" w:w="416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Impact &amp; Mitigation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MD &amp; CEO Succession Risk</w:t>
            </w:r>
          </w:p>
        </w:tc>
        <w:tc>
          <w:tcPr>
            <w:tcW w:type="dxa" w:w="100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pPr>
              <w:jc w:val="center"/>
            </w:pPr>
            <w:r>
              <w:rPr>
                <w:rFonts w:ascii="Arial" w:cs="Arial" w:eastAsia="Arial" w:hAnsi="Arial"/>
                <w:b/>
                <w:bCs/>
                <w:color w:val="C0392B"/>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444444"/>
                <w:sz w:val="17"/>
                <w:szCs w:val="17"/>
              </w:rPr>
              <w:t xml:space="preserve">Dr. Kamakodi's 15-year tenure ends April 30, 2026. The Board has sent candidate names to RBI. A leadership transition at a bank this size, after such a long tenure, carries execution risk. The incoming CEO may alter strategy, growth targets, or risk appetite. This is the single biggest near-term overhang.</w:t>
            </w:r>
          </w:p>
        </w:tc>
      </w:tr>
      <w:tr>
        <w:tc>
          <w:tcPr>
            <w:tcW w:type="dxa" w:w="4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333333"/>
                <w:sz w:val="18"/>
                <w:szCs w:val="18"/>
              </w:rPr>
              <w:t xml:space="preserve">Low CASA Ratio (27%)</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center"/>
            </w:pPr>
            <w:r>
              <w:rPr>
                <w:rFonts w:ascii="Arial" w:cs="Arial" w:eastAsia="Arial" w:hAnsi="Arial"/>
                <w:b/>
                <w:bCs/>
                <w:color w:val="CC8800"/>
                <w:sz w:val="20"/>
                <w:szCs w:val="20"/>
              </w:rPr>
              <w:t xml:space="preserve">6/10</w:t>
            </w:r>
          </w:p>
        </w:tc>
        <w:tc>
          <w:tcPr>
            <w:tcW w:type="dxa" w:w="4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pPr>
              <w:spacing w:line="260"/>
            </w:pPr>
            <w:r>
              <w:rPr>
                <w:rFonts w:ascii="Arial" w:cs="Arial" w:eastAsia="Arial" w:hAnsi="Arial"/>
                <w:color w:val="444444"/>
                <w:sz w:val="17"/>
                <w:szCs w:val="17"/>
              </w:rPr>
              <w:t xml:space="preserve">CASA at 27% is significantly below the private bank average of 40-45%. This makes CUB's cost of funds structurally higher and more rate-sensitive. While the bank is focused on granular CASA growth, this is a multi-year journey that cannot be accelerated quickly.</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Geographic Concentration</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center"/>
            </w:pPr>
            <w:r>
              <w:rPr>
                <w:rFonts w:ascii="Arial" w:cs="Arial" w:eastAsia="Arial" w:hAnsi="Arial"/>
                <w:b/>
                <w:bCs/>
                <w:color w:val="CC8800"/>
                <w:sz w:val="20"/>
                <w:szCs w:val="20"/>
              </w:rPr>
              <w:t xml:space="preserve">5/10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444444"/>
                <w:sz w:val="17"/>
                <w:szCs w:val="17"/>
              </w:rPr>
              <w:t xml:space="preserve">Heavy dependence on Tamil Nadu and South India for both deposits and lending. Any regional economic shock (cyclone, agricultural distress, political disruption) could disproportionately impact the bank. Retail expansion into North/West via DSAs is still nascent.</w:t>
            </w:r>
          </w:p>
        </w:tc>
      </w:tr>
      <w:tr>
        <w:tc>
          <w:tcPr>
            <w:tcW w:type="dxa" w:w="4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333333"/>
                <w:sz w:val="18"/>
                <w:szCs w:val="18"/>
              </w:rPr>
              <w:t xml:space="preserve">ECL Transition Uncertainty</w:t>
            </w:r>
          </w:p>
        </w:tc>
        <w:tc>
          <w:tcPr>
            <w:tcW w:type="dxa" w:w="10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center"/>
            </w:pPr>
            <w:r>
              <w:rPr>
                <w:rFonts w:ascii="Arial" w:cs="Arial" w:eastAsia="Arial" w:hAnsi="Arial"/>
                <w:b/>
                <w:bCs/>
                <w:color w:val="CC8800"/>
                <w:sz w:val="20"/>
                <w:szCs w:val="20"/>
              </w:rPr>
              <w:t xml:space="preserve">5/10</w:t>
            </w:r>
          </w:p>
        </w:tc>
        <w:tc>
          <w:tcPr>
            <w:tcW w:type="dxa" w:w="4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pPr>
              <w:spacing w:line="260"/>
            </w:pPr>
            <w:r>
              <w:rPr>
                <w:rFonts w:ascii="Arial" w:cs="Arial" w:eastAsia="Arial" w:hAnsi="Arial"/>
                <w:color w:val="444444"/>
                <w:sz w:val="17"/>
                <w:szCs w:val="17"/>
              </w:rPr>
              <w:t xml:space="preserve">The Expected Credit Loss (ECL) framework transition from current IRAC norms will require incremental provisioning. Management says Stage 3 has no significant difference, Stage 2 needs some incremental provision, and Stage 1 might need 10-20 bps additional. While management says it is not alarming and there is downward bias, the exact impact is yet to be quantified by any Indian bank.</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Rising Cost-to-Income Ratio</w:t>
            </w:r>
          </w:p>
        </w:tc>
        <w:tc>
          <w:tcPr>
            <w:tcW w:type="dxa" w:w="10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tcPr>
          <w:p>
            <w:pPr>
              <w:jc w:val="center"/>
            </w:pPr>
            <w:r>
              <w:rPr>
                <w:rFonts w:ascii="Arial" w:cs="Arial" w:eastAsia="Arial" w:hAnsi="Arial"/>
                <w:b/>
                <w:bCs/>
                <w:color w:val="228B22"/>
                <w:sz w:val="20"/>
                <w:szCs w:val="20"/>
              </w:rPr>
              <w:t xml:space="preserve">4/10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444444"/>
                <w:sz w:val="17"/>
                <w:szCs w:val="17"/>
              </w:rPr>
              <w:t xml:space="preserve">CIR has crept up from 46.58% in Q3 FY25 to 48-49% range as the bank invests in technology, branches, and retail infrastructure. While this is expected during an investment phase, it needs to stabilize or decline as operating leverage kicks in. Management guides 48-50% for FY26.</w:t>
            </w:r>
          </w:p>
        </w:tc>
      </w:tr>
      <w:tr>
        <w:tc>
          <w:tcPr>
            <w:tcW w:type="dxa" w:w="4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333333"/>
                <w:sz w:val="18"/>
                <w:szCs w:val="18"/>
              </w:rPr>
              <w:t xml:space="preserve">Gold Loan Concentration (30% of book)</w:t>
            </w:r>
          </w:p>
        </w:tc>
        <w:tc>
          <w:tcPr>
            <w:tcW w:type="dxa" w:w="10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tcPr>
          <w:p>
            <w:pPr>
              <w:jc w:val="center"/>
            </w:pPr>
            <w:r>
              <w:rPr>
                <w:rFonts w:ascii="Arial" w:cs="Arial" w:eastAsia="Arial" w:hAnsi="Arial"/>
                <w:b/>
                <w:bCs/>
                <w:color w:val="228B22"/>
                <w:sz w:val="20"/>
                <w:szCs w:val="20"/>
              </w:rPr>
              <w:t xml:space="preserve">4/10</w:t>
            </w:r>
          </w:p>
        </w:tc>
        <w:tc>
          <w:tcPr>
            <w:tcW w:type="dxa" w:w="4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pPr>
              <w:spacing w:line="260"/>
            </w:pPr>
            <w:r>
              <w:rPr>
                <w:rFonts w:ascii="Arial" w:cs="Arial" w:eastAsia="Arial" w:hAnsi="Arial"/>
                <w:color w:val="444444"/>
                <w:sz w:val="17"/>
                <w:szCs w:val="17"/>
              </w:rPr>
              <w:t xml:space="preserve">While gold loans are the safest asset class (zero credit loss history), any sharp decline in gold prices could trigger margin calls and portfolio stress. At current LTV of 55% on book basis, there is a comfortable buffer, but a 40%+ gold price crash would be problematic. Regulatory changes on gold loan LTV norms also remain a risk.</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Retail Lending Execution Risk</w:t>
            </w:r>
          </w:p>
        </w:tc>
        <w:tc>
          <w:tcPr>
            <w:tcW w:type="dxa" w:w="10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tcPr>
          <w:p>
            <w:pPr>
              <w:jc w:val="center"/>
            </w:pPr>
            <w:r>
              <w:rPr>
                <w:rFonts w:ascii="Arial" w:cs="Arial" w:eastAsia="Arial" w:hAnsi="Arial"/>
                <w:b/>
                <w:bCs/>
                <w:color w:val="228B22"/>
                <w:sz w:val="20"/>
                <w:szCs w:val="20"/>
              </w:rPr>
              <w:t xml:space="preserve">4/10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444444"/>
                <w:sz w:val="17"/>
                <w:szCs w:val="17"/>
              </w:rPr>
              <w:t xml:space="preserve">The bank is entering LAP, Home Loans, and Affordable Housing where it has limited vintage and track record. Scaling this to 8-9% of advances over 3-4 years requires building new underwriting capabilities, risk models, and collections infrastructure. Early delinquency data is yet to emerge.</w:t>
            </w:r>
          </w:p>
        </w:tc>
      </w:tr>
      <w:tr>
        <w:tc>
          <w:tcPr>
            <w:tcW w:type="dxa" w:w="4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333333"/>
                <w:sz w:val="18"/>
                <w:szCs w:val="18"/>
              </w:rPr>
              <w:t xml:space="preserve">Rate Cut Transmission Impact</w:t>
            </w:r>
          </w:p>
        </w:tc>
        <w:tc>
          <w:tcPr>
            <w:tcW w:type="dxa" w:w="10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tcPr>
          <w:p>
            <w:pPr>
              <w:jc w:val="center"/>
            </w:pPr>
            <w:r>
              <w:rPr>
                <w:rFonts w:ascii="Arial" w:cs="Arial" w:eastAsia="Arial" w:hAnsi="Arial"/>
                <w:b/>
                <w:bCs/>
                <w:color w:val="228B22"/>
                <w:sz w:val="20"/>
                <w:szCs w:val="20"/>
              </w:rPr>
              <w:t xml:space="preserve">3/10</w:t>
            </w:r>
          </w:p>
        </w:tc>
        <w:tc>
          <w:tcPr>
            <w:tcW w:type="dxa" w:w="4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pPr>
              <w:spacing w:line="260"/>
            </w:pPr>
            <w:r>
              <w:rPr>
                <w:rFonts w:ascii="Arial" w:cs="Arial" w:eastAsia="Arial" w:hAnsi="Arial"/>
                <w:color w:val="444444"/>
                <w:sz w:val="17"/>
                <w:szCs w:val="17"/>
              </w:rPr>
              <w:t xml:space="preserve">The Dec 2025 rate cut has been fully transmitted on EBLR-linked loans (48% of book). Annual impact is INR 40-45 Cr (INR 11 Cr/quarter). However, the 30% fixed-rate gold loan book provides a natural hedge, and deposit repricing more than compensates. Net impact is NIM-positive.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US Tariff / Export Exposure</w:t>
            </w:r>
          </w:p>
        </w:tc>
        <w:tc>
          <w:tcPr>
            <w:tcW w:type="dxa" w:w="1000"/>
            <w:tcBorders>
              <w:top w:val="single" w:color="CCCCCC" w:sz="1"/>
              <w:left w:val="single" w:color="CCCCCC" w:sz="1"/>
              <w:bottom w:val="single" w:color="CCCCCC" w:sz="1"/>
              <w:right w:val="single" w:color="CCCCCC" w:sz="1"/>
            </w:tcBorders>
            <w:shd w:fill="CCFFCC" w:val="clear"/>
            <w:tcMar>
              <w:top w:type="dxa" w:w="60"/>
              <w:left w:type="dxa" w:w="100"/>
              <w:bottom w:type="dxa" w:w="60"/>
              <w:right w:type="dxa" w:w="100"/>
            </w:tcMar>
          </w:tcPr>
          <w:p>
            <w:pPr>
              <w:jc w:val="center"/>
            </w:pPr>
            <w:r>
              <w:rPr>
                <w:rFonts w:ascii="Arial" w:cs="Arial" w:eastAsia="Arial" w:hAnsi="Arial"/>
                <w:b/>
                <w:bCs/>
                <w:color w:val="228B22"/>
                <w:sz w:val="20"/>
                <w:szCs w:val="20"/>
              </w:rPr>
              <w:t xml:space="preserve">2/10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60"/>
            </w:pPr>
            <w:r>
              <w:rPr>
                <w:rFonts w:ascii="Arial" w:cs="Arial" w:eastAsia="Arial" w:hAnsi="Arial"/>
                <w:color w:val="444444"/>
                <w:sz w:val="17"/>
                <w:szCs w:val="17"/>
              </w:rPr>
              <w:t xml:space="preserve">Export exposure is INR 1,000-1,200 Cr (primarily textiles), with only 20% to the US. This translates to just 0.27% of the total loan book exposed to US tariff risk - negligible and well within manageable limits.</w:t>
            </w:r>
          </w:p>
        </w:tc>
      </w:tr>
    </w:tbl>
    <w:p>
      <w:pPr>
        <w:spacing w:before="40" w:after="40"/>
      </w:pPr>
    </w:p>
    <w:p>
      <w:pPr>
        <w:pStyle w:val="Heading1"/>
        <w:spacing w:before="360" w:after="200"/>
      </w:pPr>
      <w:r>
        <w:rPr>
          <w:rFonts w:ascii="Arial" w:cs="Arial" w:eastAsia="Arial" w:hAnsi="Arial"/>
          <w:b/>
          <w:bCs/>
          <w:color w:val="1B3A5C"/>
          <w:sz w:val="30"/>
          <w:szCs w:val="30"/>
        </w:rPr>
        <w:t xml:space="preserve">5. Catalysts &amp; DNA Shift: What Can Drive the Price Up</w:t>
      </w:r>
    </w:p>
    <w:p>
      <w:pPr>
        <w:spacing w:before="40" w:after="40"/>
      </w:pPr>
    </w:p>
    <w:p>
      <w:pPr>
        <w:pStyle w:val="Heading2"/>
        <w:spacing w:before="280" w:after="160"/>
      </w:pPr>
      <w:r>
        <w:rPr>
          <w:rFonts w:ascii="Arial" w:cs="Arial" w:eastAsia="Arial" w:hAnsi="Arial"/>
          <w:b/>
          <w:bCs/>
          <w:color w:val="2E5090"/>
          <w:sz w:val="26"/>
          <w:szCs w:val="26"/>
        </w:rPr>
        <w:t xml:space="preserve">5.1 Structural NIM Expansion via Deposit Repricing (HIGH CONVICTION)</w:t>
      </w:r>
    </w:p>
    <w:p>
      <w:pPr>
        <w:spacing w:before="80" w:after="80" w:line="276"/>
        <w:jc w:val="both"/>
      </w:pPr>
      <w:r>
        <w:rPr>
          <w:rFonts w:ascii="Arial" w:cs="Arial" w:eastAsia="Arial" w:hAnsi="Arial"/>
          <w:b w:val="false"/>
          <w:bCs w:val="false"/>
          <w:i w:val="false"/>
          <w:iCs w:val="false"/>
          <w:color w:val="333333"/>
          <w:sz w:val="21"/>
          <w:szCs w:val="21"/>
        </w:rPr>
        <w:t xml:space="preserve">This is the single most powerful near-term catalyst. INR 30,000+ Cr of deposits were earmarked for repricing in H2 FY26, of which INR 14,200 Cr was repriced in Q3 itself. Another INR 1,782 Cr remains. Additionally, INR 800 Cr of borrowings were repriced from 8% to 6.5%. This mechanical repricing will continue to compress cost of funds over Q4 FY26 and into FY27. Management's NIM target of 3.75-4.0% for FY27 is credible given the trajectory from 3.54% to 3.89% in just two quarters. Every 10 bps NIM improvement on a INR 60,000+ Cr advance book adds approximately INR 60 Cr to annual pre-tax profit.</w:t>
      </w:r>
    </w:p>
    <w:p>
      <w:pPr>
        <w:spacing w:before="40" w:after="40"/>
      </w:pPr>
    </w:p>
    <w:p>
      <w:pPr>
        <w:pStyle w:val="Heading2"/>
        <w:spacing w:before="280" w:after="160"/>
      </w:pPr>
      <w:r>
        <w:rPr>
          <w:rFonts w:ascii="Arial" w:cs="Arial" w:eastAsia="Arial" w:hAnsi="Arial"/>
          <w:b/>
          <w:bCs/>
          <w:color w:val="2E5090"/>
          <w:sz w:val="26"/>
          <w:szCs w:val="26"/>
        </w:rPr>
        <w:t xml:space="preserve">5.2 Credit Growth Accelerating to Multi-Decade Highs (HIGH CONVICTION)</w:t>
      </w:r>
    </w:p>
    <w:p>
      <w:pPr>
        <w:spacing w:before="80" w:after="80" w:line="276"/>
        <w:jc w:val="both"/>
      </w:pPr>
      <w:r>
        <w:rPr>
          <w:rFonts w:ascii="Arial" w:cs="Arial" w:eastAsia="Arial" w:hAnsi="Arial"/>
          <w:b w:val="false"/>
          <w:bCs w:val="false"/>
          <w:i w:val="false"/>
          <w:iCs w:val="false"/>
          <w:color w:val="333333"/>
          <w:sz w:val="21"/>
          <w:szCs w:val="21"/>
        </w:rPr>
        <w:t xml:space="preserve">CUB has delivered 21% advance growth in Q3 FY26, the highest since FY80 (28 quarters). This is not a one-off; the bank has delivered 7 consecutive quarters of double-digit growth. The growth is diversified across MSME (core engine), gold loans (stable contributor), and secured retail (emerging driver). FY27 guidance has been upgraded from 'low to mid-teens' to 'mid to high teens'. With the retail vertical still in early innings and MSME digital lending via Newgen scaling up, the growth runway is long.</w:t>
      </w:r>
    </w:p>
    <w:p>
      <w:pPr>
        <w:spacing w:before="40" w:after="40"/>
      </w:pPr>
    </w:p>
    <w:p>
      <w:pPr>
        <w:pStyle w:val="Heading2"/>
        <w:spacing w:before="280" w:after="160"/>
      </w:pPr>
      <w:r>
        <w:rPr>
          <w:rFonts w:ascii="Arial" w:cs="Arial" w:eastAsia="Arial" w:hAnsi="Arial"/>
          <w:b/>
          <w:bCs/>
          <w:color w:val="2E5090"/>
          <w:sz w:val="26"/>
          <w:szCs w:val="26"/>
        </w:rPr>
        <w:t xml:space="preserve">5.3 IFC Renewable Energy Partnership - New High-Yield Vertical (MEDIUM CONVICTION)</w:t>
      </w:r>
    </w:p>
    <w:p>
      <w:pPr>
        <w:spacing w:before="80" w:after="80" w:line="276"/>
        <w:jc w:val="both"/>
      </w:pPr>
      <w:r>
        <w:rPr>
          <w:rFonts w:ascii="Arial" w:cs="Arial" w:eastAsia="Arial" w:hAnsi="Arial"/>
          <w:b w:val="false"/>
          <w:bCs w:val="false"/>
          <w:i w:val="false"/>
          <w:iCs w:val="false"/>
          <w:color w:val="333333"/>
          <w:sz w:val="21"/>
          <w:szCs w:val="21"/>
        </w:rPr>
        <w:t xml:space="preserve">The IFC (International Finance Corporation) has committed USD 50 million for renewable energy MSME lending. The book was INR 500 Cr as of H1 FY26 with a target of INR 2,500 Cr within 30 months (by end of CY2026). This is a 5x scale-up of a higher-yielding segment within the MSME book. Solar financing for MSME customers is a natural fit given CUB's existing relationships. The IFC stamp also enhances CUB's ESG credentials and could attract foreign institutional flows.</w:t>
      </w:r>
    </w:p>
    <w:p>
      <w:pPr>
        <w:spacing w:before="40" w:after="40"/>
      </w:pPr>
    </w:p>
    <w:p>
      <w:pPr>
        <w:pStyle w:val="Heading2"/>
        <w:spacing w:before="280" w:after="160"/>
      </w:pPr>
      <w:r>
        <w:rPr>
          <w:rFonts w:ascii="Arial" w:cs="Arial" w:eastAsia="Arial" w:hAnsi="Arial"/>
          <w:b/>
          <w:bCs/>
          <w:color w:val="2E5090"/>
          <w:sz w:val="26"/>
          <w:szCs w:val="26"/>
        </w:rPr>
        <w:t xml:space="preserve">5.4 Retail Vertical Scale-Up - The Next S-Curve (MEDIUM CONVICTION)</w:t>
      </w:r>
    </w:p>
    <w:p>
      <w:pPr>
        <w:spacing w:before="80" w:after="80" w:line="276"/>
        <w:jc w:val="both"/>
      </w:pPr>
      <w:r>
        <w:rPr>
          <w:rFonts w:ascii="Arial" w:cs="Arial" w:eastAsia="Arial" w:hAnsi="Arial"/>
          <w:b w:val="false"/>
          <w:bCs w:val="false"/>
          <w:i w:val="false"/>
          <w:iCs w:val="false"/>
          <w:color w:val="333333"/>
          <w:sz w:val="21"/>
          <w:szCs w:val="21"/>
        </w:rPr>
        <w:t xml:space="preserve">Retail was essentially zero for CUB until recently. The target is 2-2.5% of advances in FY26 growing to 8-9% over 3-4 years. At INR 825 Cr quarterly run-rate (Q1 FY26), this is already scaling. The products (LAP at 9.4-9.5%, Affordable Housing at double-digit yields, HL at 8.8-9%) are high-margin compared to peer banks' retail books. The 80% branch-sourced model keeps acquisition costs low. This vertical can add 2-3% to overall advance growth without adding commensurate risk if underwriting discipline holds.</w:t>
      </w:r>
    </w:p>
    <w:p>
      <w:pPr>
        <w:spacing w:before="40" w:after="40"/>
      </w:pPr>
    </w:p>
    <w:p>
      <w:pPr>
        <w:pStyle w:val="Heading2"/>
        <w:spacing w:before="280" w:after="160"/>
      </w:pPr>
      <w:r>
        <w:rPr>
          <w:rFonts w:ascii="Arial" w:cs="Arial" w:eastAsia="Arial" w:hAnsi="Arial"/>
          <w:b/>
          <w:bCs/>
          <w:color w:val="2E5090"/>
          <w:sz w:val="26"/>
          <w:szCs w:val="26"/>
        </w:rPr>
        <w:t xml:space="preserve">5.5 Asset Quality Normalization = Provision Release (HIGH CONVICTION)</w:t>
      </w:r>
    </w:p>
    <w:p>
      <w:pPr>
        <w:spacing w:before="80" w:after="80" w:line="276"/>
        <w:jc w:val="both"/>
      </w:pPr>
      <w:r>
        <w:rPr>
          <w:rFonts w:ascii="Arial" w:cs="Arial" w:eastAsia="Arial" w:hAnsi="Arial"/>
          <w:b w:val="false"/>
          <w:bCs w:val="false"/>
          <w:i w:val="false"/>
          <w:iCs w:val="false"/>
          <w:color w:val="333333"/>
          <w:sz w:val="21"/>
          <w:szCs w:val="21"/>
        </w:rPr>
        <w:t xml:space="preserve">With GNPA at 2.17% (heading towards sub-2%), NNPA at 0.78%, PCR at 83%, and SMA-2 below 1%, CUB is approaching best-in-class asset quality for a mid-cap bank. Credit cost guidance of 0.2-0.25% is among the lowest in the industry. As the NPA cycle fully normalizes, the bank has the optionality to either accelerate profit growth by reducing provisions or maintain higher PCR as a buffer. Either way, this signals a structurally lower risk premium warranted on the stock.</w:t>
      </w:r>
    </w:p>
    <w:p>
      <w:pPr>
        <w:spacing w:before="40" w:after="40"/>
      </w:pPr>
    </w:p>
    <w:p>
      <w:pPr>
        <w:pStyle w:val="Heading2"/>
        <w:spacing w:before="280" w:after="160"/>
      </w:pPr>
      <w:r>
        <w:rPr>
          <w:rFonts w:ascii="Arial" w:cs="Arial" w:eastAsia="Arial" w:hAnsi="Arial"/>
          <w:b/>
          <w:bCs/>
          <w:color w:val="2E5090"/>
          <w:sz w:val="26"/>
          <w:szCs w:val="26"/>
        </w:rPr>
        <w:t xml:space="preserve">5.6 Co-Branded Credit Cards &amp; Digital Push (LOW-MEDIUM CONVICTION)</w:t>
      </w:r>
    </w:p>
    <w:p>
      <w:pPr>
        <w:spacing w:before="80" w:after="80" w:line="276"/>
        <w:jc w:val="both"/>
      </w:pPr>
      <w:r>
        <w:rPr>
          <w:rFonts w:ascii="Arial" w:cs="Arial" w:eastAsia="Arial" w:hAnsi="Arial"/>
          <w:b w:val="false"/>
          <w:bCs w:val="false"/>
          <w:i w:val="false"/>
          <w:iCs w:val="false"/>
          <w:color w:val="333333"/>
          <w:sz w:val="21"/>
          <w:szCs w:val="21"/>
        </w:rPr>
        <w:t xml:space="preserve">IPL co-branded credit cards with CSK and Sunrisers Hyderabad represent CUB's first foray into unsecured retail and brand-building. While revenue contribution will be small initially, this signals a DNA shift from a conservative South Indian bank to one that is willing to experiment with digital distribution and brand marketing. The BCG-designed digital lending platform via Newgen for MSME further strengthens the technology moat.</w:t>
      </w:r>
    </w:p>
    <w:p>
      <w:pPr>
        <w:spacing w:before="40" w:after="40"/>
      </w:pPr>
    </w:p>
    <w:p>
      <w:pPr>
        <w:pStyle w:val="Heading2"/>
        <w:spacing w:before="280" w:after="160"/>
      </w:pPr>
      <w:r>
        <w:rPr>
          <w:rFonts w:ascii="Arial" w:cs="Arial" w:eastAsia="Arial" w:hAnsi="Arial"/>
          <w:b/>
          <w:bCs/>
          <w:color w:val="2E5090"/>
          <w:sz w:val="26"/>
          <w:szCs w:val="26"/>
        </w:rPr>
        <w:t xml:space="preserve">5.7 AA Rating - Wholesale Funding Access (MEDIUM CONVICTION)</w:t>
      </w:r>
    </w:p>
    <w:p>
      <w:pPr>
        <w:spacing w:before="80" w:after="80" w:line="276"/>
        <w:jc w:val="both"/>
      </w:pPr>
      <w:r>
        <w:rPr>
          <w:rFonts w:ascii="Arial" w:cs="Arial" w:eastAsia="Arial" w:hAnsi="Arial"/>
          <w:b w:val="false"/>
          <w:bCs w:val="false"/>
          <w:i w:val="false"/>
          <w:iCs w:val="false"/>
          <w:color w:val="333333"/>
          <w:sz w:val="21"/>
          <w:szCs w:val="21"/>
        </w:rPr>
        <w:t xml:space="preserve">The AA credit rating received recently opens up the Certificate of Deposit market and institutional deposit channels at lower costs. CUB tested this with INR 49 Cr in Q2 FY26 and INR 1,150 Cr in Q3 FY26. While the bank will remain focused on granular retail deposits, this gives it a powerful liquidity management lever and can serve as growth capital at competitive rates when needed.</w:t>
      </w:r>
    </w:p>
    <w:p>
      <w:pPr>
        <w:spacing w:before="40" w:after="40"/>
      </w:pPr>
    </w:p>
    <w:p>
      <w:pPr>
        <w:pStyle w:val="Heading1"/>
        <w:spacing w:before="360" w:after="200"/>
      </w:pPr>
      <w:r>
        <w:rPr>
          <w:rFonts w:ascii="Arial" w:cs="Arial" w:eastAsia="Arial" w:hAnsi="Arial"/>
          <w:b/>
          <w:bCs/>
          <w:color w:val="1B3A5C"/>
          <w:sz w:val="30"/>
          <w:szCs w:val="30"/>
        </w:rPr>
        <w:t xml:space="preserve">6. Financial Projections: FY26E &amp; FY27E</w:t>
      </w:r>
    </w:p>
    <w:p>
      <w:pPr>
        <w:spacing w:before="80" w:after="80" w:line="276"/>
        <w:jc w:val="both"/>
      </w:pPr>
      <w:r>
        <w:rPr>
          <w:rFonts w:ascii="Arial" w:cs="Arial" w:eastAsia="Arial" w:hAnsi="Arial"/>
          <w:b w:val="false"/>
          <w:bCs w:val="false"/>
          <w:i w:val="false"/>
          <w:iCs w:val="false"/>
          <w:color w:val="333333"/>
          <w:sz w:val="21"/>
          <w:szCs w:val="21"/>
        </w:rPr>
        <w:t xml:space="preserve">Based on management commentary, quarterly trajectory, and operating trends, below are estimated projections. These are directional estimates and not formal financial models.</w:t>
      </w:r>
    </w:p>
    <w:p>
      <w:pPr>
        <w:spacing w:before="40" w:after="40"/>
      </w:pPr>
    </w:p>
    <w:p>
      <w:pPr>
        <w:pStyle w:val="Heading2"/>
        <w:spacing w:before="280" w:after="160"/>
      </w:pPr>
      <w:r>
        <w:rPr>
          <w:rFonts w:ascii="Arial" w:cs="Arial" w:eastAsia="Arial" w:hAnsi="Arial"/>
          <w:b/>
          <w:bCs/>
          <w:color w:val="2E5090"/>
          <w:sz w:val="26"/>
          <w:szCs w:val="26"/>
        </w:rPr>
        <w:t xml:space="preserve">6.1 FY26 Estimated Full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FY25 Actual</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FY26E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Growth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Advances (INR 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53,066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65,000-66,000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22-24%</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Deposits (INR Cr)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63,526</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76,000-78,000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20-23%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Net Interest Income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~4,200 Cr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~5,100-5,200 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21-24%</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PAT (INR Cr)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1,124</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1,300-1,340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NIM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3.70-3.75%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+10-15 bps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GNPA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3.09%</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1.90-2.00%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110-120 bps improvement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NNPA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0.65-0.70%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55-60 bps improvement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ROA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1.53-1.57%</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CIR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48.0-48.5%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Slight increase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Credit Cost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0.20-0.25%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Best-in-class</w:t>
            </w:r>
          </w:p>
        </w:tc>
      </w:tr>
    </w:tbl>
    <w:p>
      <w:pPr>
        <w:spacing w:before="40" w:after="40"/>
      </w:pPr>
    </w:p>
    <w:p>
      <w:pPr>
        <w:pStyle w:val="Heading2"/>
        <w:spacing w:before="280" w:after="160"/>
      </w:pPr>
      <w:r>
        <w:rPr>
          <w:rFonts w:ascii="Arial" w:cs="Arial" w:eastAsia="Arial" w:hAnsi="Arial"/>
          <w:b/>
          <w:bCs/>
          <w:color w:val="2E5090"/>
          <w:sz w:val="26"/>
          <w:szCs w:val="26"/>
        </w:rPr>
        <w:t xml:space="preserve">6.2 FY27 Estimated Full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FY26E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FY27E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Growth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Advances (INR 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65,000-66,000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76,000-78,000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17-18%</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Deposits (INR Cr)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76,000-78,000</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87,000-90,000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15-17%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PAT (INR 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1,300-1,340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1,550-1,650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18-23%</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NIM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3.70-3.75%</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3.80-4.00%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+10-25 bps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GNPA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1.90-2.00%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1.60-1.80%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Further clean-up</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NNPA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0.65-0.70%</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0.50-0.60%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Approaching pristine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ROA %</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1.53-1.57%</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1.55-1.65%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Potential expansion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Credit Cost %</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0.20-0.25%</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0.15-0.22%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Declining</w:t>
            </w:r>
          </w:p>
        </w:tc>
      </w:tr>
    </w:tbl>
    <w:p>
      <w:pPr>
        <w:spacing w:before="40" w:after="40"/>
      </w:pPr>
    </w:p>
    <w:p>
      <w:pPr>
        <w:pStyle w:val="Heading2"/>
        <w:spacing w:before="280" w:after="160"/>
      </w:pPr>
      <w:r>
        <w:rPr>
          <w:rFonts w:ascii="Arial" w:cs="Arial" w:eastAsia="Arial" w:hAnsi="Arial"/>
          <w:b/>
          <w:bCs/>
          <w:color w:val="2E5090"/>
          <w:sz w:val="26"/>
          <w:szCs w:val="26"/>
        </w:rPr>
        <w:t xml:space="preserve">6.3 Key Assumptions</w:t>
      </w:r>
    </w:p>
    <w:p>
      <w:pPr>
        <w:spacing w:before="80" w:after="80" w:line="276"/>
        <w:jc w:val="both"/>
      </w:pPr>
      <w:r>
        <w:rPr>
          <w:rFonts w:ascii="Arial" w:cs="Arial" w:eastAsia="Arial" w:hAnsi="Arial"/>
          <w:b w:val="false"/>
          <w:bCs w:val="false"/>
          <w:i w:val="false"/>
          <w:iCs w:val="false"/>
          <w:color w:val="333333"/>
          <w:sz w:val="21"/>
          <w:szCs w:val="21"/>
        </w:rPr>
        <w:t xml:space="preserve">Credit growth of mid to high-teens sustained as guided by management, driven by MSME, gold loans, and retail. NIM expansion assumes continued deposit repricing (INR 14,000-17,000 Cr in Q4 FY26 to FY27) and gold loans staying on fixed rate. ROA maintained above 1.5% floor as management has consistently targeted. PAT growth accelerates in FY27 as NIM expansion, credit growth, and lower credit costs compound together. GNPA trajectory assumes continued negative net slippages with slippages at INR 150-200 Cr per quarter and recoveries exceeding that. The effective tax rate is assumed at approximately 20% for at least 2-3 more quarters based on write-off-driven tax optimization.</w:t>
      </w:r>
    </w:p>
    <w:p>
      <w:pPr>
        <w:spacing w:before="40" w:after="40"/>
      </w:pPr>
    </w:p>
    <w:p>
      <w:pPr>
        <w:pStyle w:val="Heading1"/>
        <w:spacing w:before="360" w:after="200"/>
      </w:pPr>
      <w:r>
        <w:rPr>
          <w:rFonts w:ascii="Arial" w:cs="Arial" w:eastAsia="Arial" w:hAnsi="Arial"/>
          <w:b/>
          <w:bCs/>
          <w:color w:val="1B3A5C"/>
          <w:sz w:val="30"/>
          <w:szCs w:val="30"/>
        </w:rPr>
        <w:t xml:space="preserve">7. Valuation Context</w:t>
      </w:r>
    </w:p>
    <w:p>
      <w:pPr>
        <w:spacing w:before="80" w:after="80" w:line="276"/>
        <w:jc w:val="both"/>
      </w:pPr>
      <w:r>
        <w:rPr>
          <w:rFonts w:ascii="Arial" w:cs="Arial" w:eastAsia="Arial" w:hAnsi="Arial"/>
          <w:b w:val="false"/>
          <w:bCs w:val="false"/>
          <w:i w:val="false"/>
          <w:iCs w:val="false"/>
          <w:color w:val="333333"/>
          <w:sz w:val="21"/>
          <w:szCs w:val="21"/>
        </w:rPr>
        <w:t xml:space="preserve">CUB currently trades at roughly 1.5-1.7x P/BV (based on approximate market cap and net worth of INR 10,000 Cr). For a bank delivering 1.55%+ ROA, 21% credit growth, sub-2.2% GNPA, and 3.89% NIM, this valuation appears undemanding relative to peers.</w:t>
      </w:r>
    </w:p>
    <w:p>
      <w:pPr>
        <w:spacing w:before="80" w:after="80" w:line="276"/>
        <w:jc w:val="both"/>
      </w:pPr>
      <w:r>
        <w:rPr>
          <w:rFonts w:ascii="Arial" w:cs="Arial" w:eastAsia="Arial" w:hAnsi="Arial"/>
          <w:b w:val="false"/>
          <w:bCs w:val="false"/>
          <w:i w:val="false"/>
          <w:iCs w:val="false"/>
          <w:color w:val="333333"/>
          <w:sz w:val="21"/>
          <w:szCs w:val="21"/>
        </w:rPr>
        <w:t xml:space="preserve">Comparable mid-cap banks like Federal Bank, Karur Vysya Bank, and South Indian Bank trade at varying multiples. CUB's superior asset quality metrics, consistent ROA above 1.5%, and accelerating growth trajectory arguably warrant a premium. If FY27 delivers INR 1,550-1,650 Cr PAT on a book value of approximately INR 11,500-12,000 Cr, the bank would be generating 13-14% ROE, justifying a 2.0-2.2x P/BV multiple in a favorable market. The key re-rating trigger would be a successful CEO transition and sustained delivery on the mid-high teen growth guidance.</w:t>
      </w:r>
    </w:p>
    <w:p>
      <w:pPr>
        <w:spacing w:before="40" w:after="40"/>
      </w:pPr>
    </w:p>
    <w:p>
      <w:pPr>
        <w:pStyle w:val="Heading1"/>
        <w:spacing w:before="360" w:after="200"/>
      </w:pPr>
      <w:r>
        <w:rPr>
          <w:rFonts w:ascii="Arial" w:cs="Arial" w:eastAsia="Arial" w:hAnsi="Arial"/>
          <w:b/>
          <w:bCs/>
          <w:color w:val="1B3A5C"/>
          <w:sz w:val="30"/>
          <w:szCs w:val="30"/>
        </w:rPr>
        <w:t xml:space="preserve">8. Management Quality Assessment</w:t>
      </w:r>
    </w:p>
    <w:p>
      <w:pPr>
        <w:spacing w:before="80" w:after="80" w:line="276"/>
        <w:jc w:val="both"/>
      </w:pPr>
      <w:r>
        <w:rPr>
          <w:rFonts w:ascii="Arial" w:cs="Arial" w:eastAsia="Arial" w:hAnsi="Arial"/>
          <w:b w:val="false"/>
          <w:bCs w:val="false"/>
          <w:i w:val="false"/>
          <w:iCs w:val="false"/>
          <w:color w:val="333333"/>
          <w:sz w:val="21"/>
          <w:szCs w:val="21"/>
        </w:rPr>
        <w:t xml:space="preserve">Dr. Kamakodi has been at the helm for 15 years (59 quarters) and his track record speaks through the numbers. The management team, including EDs R. Vijay Anandh and V. Ramesh along with CFO J. Sadagopan, has demonstrated consistent execution and transparent communication. Key observations from the concalls: management consistently underpromises and overdelivers on guidance (credit growth guided at 12-14% initially, upgraded to mid-teens, then high-teens as execution accelerated). The decision to shift gold loans to fixed rate ahead of the rate-cut cycle was prescient and showed strategic thinking.</w:t>
      </w:r>
    </w:p>
    <w:p>
      <w:pPr>
        <w:spacing w:before="80" w:after="80" w:line="276"/>
        <w:jc w:val="both"/>
      </w:pPr>
      <w:r>
        <w:rPr>
          <w:rFonts w:ascii="Arial" w:cs="Arial" w:eastAsia="Arial" w:hAnsi="Arial"/>
          <w:b w:val="false"/>
          <w:bCs w:val="false"/>
          <w:i w:val="false"/>
          <w:iCs w:val="false"/>
          <w:color w:val="333333"/>
          <w:sz w:val="21"/>
          <w:szCs w:val="21"/>
        </w:rPr>
        <w:t xml:space="preserve">The bank celebrated its 120th anniversary with the President and Finance Minister of India in attendance, reflecting the institution's standing. A board member (Prof. V. Kamakoti, Director of IIT Madras) received a Padma Shri, and a new board member with 38-39 years of TCS experience has been inducted, strengthening governance. The bank has not been impacted by labor code changes due to proactive calculation on basic-plus-DA basis from the beginning.</w:t>
      </w:r>
    </w:p>
    <w:p>
      <w:pPr>
        <w:spacing w:before="40" w:after="40"/>
      </w:pPr>
    </w:p>
    <w:p>
      <w:pPr>
        <w:pStyle w:val="Heading1"/>
        <w:spacing w:before="360" w:after="200"/>
      </w:pPr>
      <w:r>
        <w:rPr>
          <w:rFonts w:ascii="Arial" w:cs="Arial" w:eastAsia="Arial" w:hAnsi="Arial"/>
          <w:b/>
          <w:bCs/>
          <w:color w:val="1B3A5C"/>
          <w:sz w:val="30"/>
          <w:szCs w:val="30"/>
        </w:rPr>
        <w:t xml:space="preserve">9. Conclusion &amp; Investment Thesis</w:t>
      </w:r>
    </w:p>
    <w:p>
      <w:pPr>
        <w:spacing w:before="80" w:after="80" w:line="276"/>
        <w:jc w:val="both"/>
      </w:pPr>
      <w:r>
        <w:rPr>
          <w:rFonts w:ascii="Arial" w:cs="Arial" w:eastAsia="Arial" w:hAnsi="Arial"/>
          <w:b w:val="false"/>
          <w:bCs w:val="false"/>
          <w:i w:val="false"/>
          <w:iCs w:val="false"/>
          <w:color w:val="333333"/>
          <w:sz w:val="21"/>
          <w:szCs w:val="21"/>
        </w:rPr>
        <w:t xml:space="preserve">City Union Bank is a rare find in the Indian mid-cap banking space: a 121-year-old institution experiencing its best growth phase in 40+ years, with asset quality approaching best-in-class levels, NIM expanding counter-cyclically, and multiple new growth vectors (retail, renewable energy, digital) being seeded simultaneously.</w:t>
      </w:r>
    </w:p>
    <w:p>
      <w:pPr>
        <w:spacing w:before="80" w:after="80" w:line="276"/>
        <w:jc w:val="both"/>
      </w:pPr>
      <w:r>
        <w:rPr>
          <w:rFonts w:ascii="Arial" w:cs="Arial" w:eastAsia="Arial" w:hAnsi="Arial"/>
          <w:b w:val="false"/>
          <w:bCs w:val="false"/>
          <w:i w:val="false"/>
          <w:iCs w:val="false"/>
          <w:color w:val="333333"/>
          <w:sz w:val="21"/>
          <w:szCs w:val="21"/>
        </w:rPr>
        <w:t xml:space="preserve">The bull case is built on: (a) continued deposit repricing driving NIM to 3.75-4.0%, (b) credit growth sustaining at mid-to-high teens, (c) credit costs remaining at 0.20-0.25% as NPAs normalize, (d) retail and renewable energy verticals contributing incremental 2-3% growth, and (e) a smooth CEO transition maintaining strategic continuity.</w:t>
      </w:r>
    </w:p>
    <w:p>
      <w:pPr>
        <w:spacing w:before="80" w:after="80" w:line="276"/>
        <w:jc w:val="both"/>
      </w:pPr>
      <w:r>
        <w:rPr>
          <w:rFonts w:ascii="Arial" w:cs="Arial" w:eastAsia="Arial" w:hAnsi="Arial"/>
          <w:b w:val="false"/>
          <w:bCs w:val="false"/>
          <w:i w:val="false"/>
          <w:iCs w:val="false"/>
          <w:color w:val="333333"/>
          <w:sz w:val="21"/>
          <w:szCs w:val="21"/>
        </w:rPr>
        <w:t xml:space="preserve">The bear case centers on: (a) a botched CEO transition disrupting momentum, (b) retail lending asset quality deteriorating as the book seasons, (c) aggressive rate cuts compressing NIM faster than deposit repricing can offset, and (d) ECL transition requiring materially higher provisions than expected.</w:t>
      </w:r>
    </w:p>
    <w:p>
      <w:pPr>
        <w:spacing w:before="80" w:after="80" w:line="276"/>
        <w:jc w:val="both"/>
      </w:pPr>
      <w:r>
        <w:rPr>
          <w:rFonts w:ascii="Arial" w:cs="Arial" w:eastAsia="Arial" w:hAnsi="Arial"/>
          <w:b w:val="false"/>
          <w:bCs w:val="false"/>
          <w:i w:val="false"/>
          <w:iCs w:val="false"/>
          <w:color w:val="333333"/>
          <w:sz w:val="21"/>
          <w:szCs w:val="21"/>
        </w:rPr>
        <w:t xml:space="preserve">On balance, the risk-reward appears favorable. CUB is transitioning from a slow-growth, high-NPA period to a high-growth, low-NPA, expanding-NIM period. If this trajectory sustains through FY27, the stock deserves a meaningful re-rating from current levels.</w:t>
      </w:r>
    </w:p>
    <w:p>
      <w:pPr>
        <w:spacing w:before="40" w:after="40"/>
      </w:pPr>
    </w:p>
    <w:p>
      <w:pPr>
        <w:spacing w:before="40" w:after="40"/>
      </w:pPr>
    </w:p>
    <w:p>
      <w:pPr>
        <w:pBdr>
          <w:top w:val="single" w:color="E8E8E8" w:sz="2" w:space="8"/>
        </w:pBdr>
        <w:spacing w:before="200"/>
        <w:jc w:val="center"/>
      </w:pPr>
      <w:r>
        <w:rPr>
          <w:rFonts w:ascii="Arial" w:cs="Arial" w:eastAsia="Arial" w:hAnsi="Arial"/>
          <w:i/>
          <w:iCs/>
          <w:color w:val="666666"/>
          <w:sz w:val="16"/>
          <w:szCs w:val="16"/>
        </w:rPr>
        <w:t xml:space="preserve">Disclaimer: This report is for informational purposes only and does not constitute investment advice. Please consult a SEBI-registered advisor before making investment decisions.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pPr>
    <w:r>
      <w:rPr>
        <w:rFonts w:ascii="Arial" w:cs="Arial" w:eastAsia="Arial" w:hAnsi="Arial"/>
        <w:color w:val="666666"/>
        <w:sz w:val="16"/>
        <w:szCs w:val="16"/>
      </w:rPr>
      <w:t xml:space="preserve">City Union Bank Ltd  |  Equity Research</w:t>
    </w:r>
    <w:r>
      <w:rPr>
        <w:rFonts w:ascii="Arial" w:cs="Arial" w:eastAsia="Arial" w:hAnsi="Arial"/>
        <w:color w:val="666666"/>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2026-03-10T04:01:36.407Z</dcterms:created>
  <dcterms:modified xsi:type="dcterms:W3CDTF">2026-03-10T04:01:36.407Z</dcterms:modified>
</cp:coreProperties>
</file>

<file path=docProps/custom.xml><?xml version="1.0" encoding="utf-8"?>
<Properties xmlns="http://schemas.openxmlformats.org/officeDocument/2006/custom-properties" xmlns:vt="http://schemas.openxmlformats.org/officeDocument/2006/docPropsVTypes"/>
</file>