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4F72"/>
          <w:sz w:val="56"/>
        </w:rPr>
        <w:t>ZYDUS WELLNESS LIMITED</w:t>
      </w:r>
    </w:p>
    <w:p>
      <w:pPr>
        <w:jc w:val="center"/>
      </w:pPr>
      <w:r>
        <w:rPr>
          <w:color w:val="2E75B6"/>
          <w:sz w:val="36"/>
        </w:rPr>
        <w:t>Comprehensive Company Analysis</w:t>
      </w:r>
    </w:p>
    <w:p/>
    <w:p>
      <w:pPr>
        <w:jc w:val="center"/>
      </w:pPr>
      <w:r>
        <w:rPr>
          <w:color w:val="555555"/>
          <w:sz w:val="24"/>
        </w:rPr>
        <w:t>BSE: 531335 | NSE: ZYDUSWELL</w:t>
        <w:br/>
        <w:t>Analysis Date: March 20, 2026</w:t>
        <w:br/>
        <w:t>Market Cap: ~Rs.12,600 Cr</w:t>
      </w:r>
    </w:p>
    <w:p>
      <w:r>
        <w:br w:type="page"/>
      </w:r>
    </w:p>
    <w:p>
      <w:pPr>
        <w:pStyle w:val="Heading1"/>
      </w:pPr>
      <w:r>
        <w:t>1. Business Model Overview</w:t>
      </w:r>
    </w:p>
    <w:p>
      <w:r>
        <w:t>Zydus Wellness is an Indian consumer wellness company, a subsidiary of the Zydus Group (Zydus Lifesciences). The company operates across two reportable segments: Food &amp; Nutrition and Personal Care. It has transformed itself over the past 5-6 years from a primarily domestic, niche-category FMCG player into a multi-category, multi-channel, and now multi-geography wellness platform through a series of acquisitions.</w:t>
      </w:r>
    </w:p>
    <w:p>
      <w:pPr>
        <w:pStyle w:val="Heading2"/>
      </w:pPr>
      <w:r>
        <w:t>Segment Breakdown</w:t>
      </w:r>
    </w:p>
    <w:p>
      <w:r>
        <w:t>Food &amp; Nutrition (~75-80% of revenue post-Comfort Click): This is the larger segment encompassing brands like Glucon-D (glucose powder, 59% market share), Complan (nutrition drink, #4 rank, 4.1% share in a Rs.6,700 Cr category), Sugar Free (96.3% market share in sugar substitutes), Nutralite (fat spreads, mayonnaise, dairy - market leader), RiteBite Max Protein (nutrition bars, #1 in protein snacking), and the international brands WeightWorld, maxmedix, and Animigo acquired through Comfort Click. The Q3 FY26 Food &amp; Nutrition segment grew 134% YoY largely driven by the inorganic addition of Comfort Click.</w:t>
      </w:r>
    </w:p>
    <w:p>
      <w:r>
        <w:t>Personal Care (~20-25% of revenue): This segment includes Everyuth (scrubs, peel-offs, facial cleansing), Nycil (prickly heat powder, 33.1% market share), and the recently added Cuticolor (doctor-prescribed hair coloring). The Personal Care segment declined 1.4% in Q3 FY26, largely due to Nycil seasonality, though Everyuth continues to deliver consistent double-digit growth on a YTD basis.</w:t>
      </w:r>
    </w:p>
    <w:p>
      <w:pPr>
        <w:pStyle w:val="Heading2"/>
      </w:pPr>
      <w:r>
        <w:t>Revenue and Distribution Architecture</w:t>
      </w:r>
    </w:p>
    <w:p>
      <w:r>
        <w:t>The company reaches over 70 million families through approximately 1,950 distributors, ~2.8 million stores, ~0.7 million direct reach outlets, and 2,500+ feet-on-street representatives. Organised trade saliency has grown rapidly from 13% in FY21 to 30% in YTD FY26, with e-commerce contributing approximately 14-15% of domestic sales. Quick commerce and e-commerce are key structural growth drivers.</w:t>
      </w:r>
    </w:p>
    <w:p>
      <w:r>
        <w:t>Post the Comfort Click acquisition, approximately one-third of total revenue is now international, primarily from European markets (UK, Germany, France, Italy, Spain) through Amazon marketplace (75-80%) and D2C channels. The company is expanding Comfort Click into Poland, Finland, Portugal, UAE, and the US.</w:t>
      </w:r>
    </w:p>
    <w:p>
      <w:pPr>
        <w:pStyle w:val="Heading2"/>
      </w:pPr>
      <w:r>
        <w:t>Acquisition History and Strategy</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Acquisition</w:t>
            </w:r>
          </w:p>
        </w:tc>
        <w:tc>
          <w:tcPr>
            <w:tcW w:type="dxa" w:w="1152"/>
          </w:tcPr>
          <w:p>
            <w:r>
              <w:rPr>
                <w:b/>
                <w:sz w:val="20"/>
              </w:rPr>
              <w:t>Year</w:t>
            </w:r>
          </w:p>
        </w:tc>
        <w:tc>
          <w:tcPr>
            <w:tcW w:type="dxa" w:w="2880"/>
          </w:tcPr>
          <w:p>
            <w:r>
              <w:rPr>
                <w:b/>
                <w:sz w:val="20"/>
              </w:rPr>
              <w:t>Key Brands/Assets</w:t>
            </w:r>
          </w:p>
        </w:tc>
        <w:tc>
          <w:tcPr>
            <w:tcW w:type="dxa" w:w="3600"/>
          </w:tcPr>
          <w:p>
            <w:r>
              <w:rPr>
                <w:b/>
                <w:sz w:val="20"/>
              </w:rPr>
              <w:t>Strategic Rationale</w:t>
            </w:r>
          </w:p>
        </w:tc>
      </w:tr>
      <w:tr>
        <w:tc>
          <w:tcPr>
            <w:tcW w:type="dxa" w:w="2160"/>
          </w:tcPr>
          <w:p>
            <w:r>
              <w:rPr>
                <w:sz w:val="20"/>
              </w:rPr>
              <w:t>Heinz India (CNAFL)</w:t>
            </w:r>
          </w:p>
        </w:tc>
        <w:tc>
          <w:tcPr>
            <w:tcW w:type="dxa" w:w="1152"/>
          </w:tcPr>
          <w:p>
            <w:r>
              <w:rPr>
                <w:sz w:val="20"/>
              </w:rPr>
              <w:t>2018-2020</w:t>
            </w:r>
          </w:p>
        </w:tc>
        <w:tc>
          <w:tcPr>
            <w:tcW w:type="dxa" w:w="2880"/>
          </w:tcPr>
          <w:p>
            <w:r>
              <w:rPr>
                <w:sz w:val="20"/>
              </w:rPr>
              <w:t>Glucon-D, Complan, Nycil</w:t>
            </w:r>
          </w:p>
        </w:tc>
        <w:tc>
          <w:tcPr>
            <w:tcW w:type="dxa" w:w="3600"/>
          </w:tcPr>
          <w:p>
            <w:r>
              <w:rPr>
                <w:sz w:val="20"/>
              </w:rPr>
              <w:t>Category leadership in glucose, nutrition, prickly heat</w:t>
            </w:r>
          </w:p>
        </w:tc>
      </w:tr>
      <w:tr>
        <w:tc>
          <w:tcPr>
            <w:tcW w:type="dxa" w:w="2160"/>
          </w:tcPr>
          <w:p>
            <w:r>
              <w:rPr>
                <w:sz w:val="20"/>
              </w:rPr>
              <w:t>Naturell India (RiteBite)</w:t>
            </w:r>
          </w:p>
        </w:tc>
        <w:tc>
          <w:tcPr>
            <w:tcW w:type="dxa" w:w="1152"/>
          </w:tcPr>
          <w:p>
            <w:r>
              <w:rPr>
                <w:sz w:val="20"/>
              </w:rPr>
              <w:t>FY25</w:t>
            </w:r>
          </w:p>
        </w:tc>
        <w:tc>
          <w:tcPr>
            <w:tcW w:type="dxa" w:w="2880"/>
          </w:tcPr>
          <w:p>
            <w:r>
              <w:rPr>
                <w:sz w:val="20"/>
              </w:rPr>
              <w:t>RiteBite Max Protein</w:t>
            </w:r>
          </w:p>
        </w:tc>
        <w:tc>
          <w:tcPr>
            <w:tcW w:type="dxa" w:w="3600"/>
          </w:tcPr>
          <w:p>
            <w:r>
              <w:rPr>
                <w:sz w:val="20"/>
              </w:rPr>
              <w:t>Entry into high-growth protein snacking; 25%+ CAGR business</w:t>
            </w:r>
          </w:p>
        </w:tc>
      </w:tr>
      <w:tr>
        <w:tc>
          <w:tcPr>
            <w:tcW w:type="dxa" w:w="2160"/>
          </w:tcPr>
          <w:p>
            <w:r>
              <w:rPr>
                <w:sz w:val="20"/>
              </w:rPr>
              <w:t>Comfort Click Ltd</w:t>
            </w:r>
          </w:p>
        </w:tc>
        <w:tc>
          <w:tcPr>
            <w:tcW w:type="dxa" w:w="1152"/>
          </w:tcPr>
          <w:p>
            <w:r>
              <w:rPr>
                <w:sz w:val="20"/>
              </w:rPr>
              <w:t>Q2 FY26</w:t>
            </w:r>
          </w:p>
        </w:tc>
        <w:tc>
          <w:tcPr>
            <w:tcW w:type="dxa" w:w="2880"/>
          </w:tcPr>
          <w:p>
            <w:r>
              <w:rPr>
                <w:sz w:val="20"/>
              </w:rPr>
              <w:t>WeightWorld, maxmedix, Animigo</w:t>
            </w:r>
          </w:p>
        </w:tc>
        <w:tc>
          <w:tcPr>
            <w:tcW w:type="dxa" w:w="3600"/>
          </w:tcPr>
          <w:p>
            <w:r>
              <w:rPr>
                <w:sz w:val="20"/>
              </w:rPr>
              <w:t>International VMS platform; digital-first D2C business</w:t>
            </w:r>
          </w:p>
        </w:tc>
      </w:tr>
    </w:tbl>
    <w:p/>
    <w:p>
      <w:pPr>
        <w:pStyle w:val="Heading1"/>
      </w:pPr>
      <w:r>
        <w:t>2. Key Financial Metrics</w:t>
      </w:r>
    </w:p>
    <w:p>
      <w:pPr>
        <w:pStyle w:val="Heading2"/>
      </w:pPr>
      <w:r>
        <w:t>Consolidated P&amp;L Snapshot (Q3 FY26 &amp; YTD FY26)</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2160"/>
          </w:tcPr>
          <w:p>
            <w:r>
              <w:rPr>
                <w:b/>
                <w:sz w:val="20"/>
              </w:rPr>
              <w:t>Metric</w:t>
            </w:r>
          </w:p>
        </w:tc>
        <w:tc>
          <w:tcPr>
            <w:tcW w:type="dxa" w:w="1296"/>
          </w:tcPr>
          <w:p>
            <w:r>
              <w:rPr>
                <w:b/>
                <w:sz w:val="20"/>
              </w:rPr>
              <w:t>Q3 FY26</w:t>
            </w:r>
          </w:p>
        </w:tc>
        <w:tc>
          <w:tcPr>
            <w:tcW w:type="dxa" w:w="1296"/>
          </w:tcPr>
          <w:p>
            <w:r>
              <w:rPr>
                <w:b/>
                <w:sz w:val="20"/>
              </w:rPr>
              <w:t>Q3 FY25</w:t>
            </w:r>
          </w:p>
        </w:tc>
        <w:tc>
          <w:tcPr>
            <w:tcW w:type="dxa" w:w="1296"/>
          </w:tcPr>
          <w:p>
            <w:r>
              <w:rPr>
                <w:b/>
                <w:sz w:val="20"/>
              </w:rPr>
              <w:t>YoY Growth</w:t>
            </w:r>
          </w:p>
        </w:tc>
        <w:tc>
          <w:tcPr>
            <w:tcW w:type="dxa" w:w="1296"/>
          </w:tcPr>
          <w:p>
            <w:r>
              <w:rPr>
                <w:b/>
                <w:sz w:val="20"/>
              </w:rPr>
              <w:t>YTD FY26</w:t>
            </w:r>
          </w:p>
        </w:tc>
        <w:tc>
          <w:tcPr>
            <w:tcW w:type="dxa" w:w="1296"/>
          </w:tcPr>
          <w:p>
            <w:r>
              <w:rPr>
                <w:b/>
                <w:sz w:val="20"/>
              </w:rPr>
              <w:t>YTD FY25</w:t>
            </w:r>
          </w:p>
        </w:tc>
        <w:tc>
          <w:tcPr>
            <w:tcW w:type="dxa" w:w="1296"/>
          </w:tcPr>
          <w:p>
            <w:r>
              <w:rPr>
                <w:b/>
                <w:sz w:val="20"/>
              </w:rPr>
              <w:t>YoY Growth</w:t>
            </w:r>
          </w:p>
        </w:tc>
      </w:tr>
      <w:tr>
        <w:tc>
          <w:tcPr>
            <w:tcW w:type="dxa" w:w="2160"/>
          </w:tcPr>
          <w:p>
            <w:r>
              <w:rPr>
                <w:sz w:val="20"/>
              </w:rPr>
              <w:t>Net Sales (Rs. Mn)</w:t>
            </w:r>
          </w:p>
        </w:tc>
        <w:tc>
          <w:tcPr>
            <w:tcW w:type="dxa" w:w="1296"/>
          </w:tcPr>
          <w:p>
            <w:r>
              <w:rPr>
                <w:sz w:val="20"/>
              </w:rPr>
              <w:t>9,633</w:t>
            </w:r>
          </w:p>
        </w:tc>
        <w:tc>
          <w:tcPr>
            <w:tcW w:type="dxa" w:w="1296"/>
          </w:tcPr>
          <w:p>
            <w:r>
              <w:rPr>
                <w:sz w:val="20"/>
              </w:rPr>
              <w:t>4,508</w:t>
            </w:r>
          </w:p>
        </w:tc>
        <w:tc>
          <w:tcPr>
            <w:tcW w:type="dxa" w:w="1296"/>
          </w:tcPr>
          <w:p>
            <w:r>
              <w:rPr>
                <w:sz w:val="20"/>
              </w:rPr>
              <w:t>113.7%</w:t>
            </w:r>
          </w:p>
        </w:tc>
        <w:tc>
          <w:tcPr>
            <w:tcW w:type="dxa" w:w="1296"/>
          </w:tcPr>
          <w:p>
            <w:r>
              <w:rPr>
                <w:sz w:val="20"/>
              </w:rPr>
              <w:t>24,639</w:t>
            </w:r>
          </w:p>
        </w:tc>
        <w:tc>
          <w:tcPr>
            <w:tcW w:type="dxa" w:w="1296"/>
          </w:tcPr>
          <w:p>
            <w:r>
              <w:rPr>
                <w:sz w:val="20"/>
              </w:rPr>
              <w:t>17,806</w:t>
            </w:r>
          </w:p>
        </w:tc>
        <w:tc>
          <w:tcPr>
            <w:tcW w:type="dxa" w:w="1296"/>
          </w:tcPr>
          <w:p>
            <w:r>
              <w:rPr>
                <w:sz w:val="20"/>
              </w:rPr>
              <w:t>38.4%</w:t>
            </w:r>
          </w:p>
        </w:tc>
      </w:tr>
      <w:tr>
        <w:tc>
          <w:tcPr>
            <w:tcW w:type="dxa" w:w="2160"/>
          </w:tcPr>
          <w:p>
            <w:r>
              <w:rPr>
                <w:sz w:val="20"/>
              </w:rPr>
              <w:t>Gross Margin %</w:t>
            </w:r>
          </w:p>
        </w:tc>
        <w:tc>
          <w:tcPr>
            <w:tcW w:type="dxa" w:w="1296"/>
          </w:tcPr>
          <w:p>
            <w:r>
              <w:rPr>
                <w:sz w:val="20"/>
              </w:rPr>
              <w:t>63.3%</w:t>
            </w:r>
          </w:p>
        </w:tc>
        <w:tc>
          <w:tcPr>
            <w:tcW w:type="dxa" w:w="1296"/>
          </w:tcPr>
          <w:p>
            <w:r>
              <w:rPr>
                <w:sz w:val="20"/>
              </w:rPr>
              <w:t>47.7%</w:t>
            </w:r>
          </w:p>
        </w:tc>
        <w:tc>
          <w:tcPr>
            <w:tcW w:type="dxa" w:w="1296"/>
          </w:tcPr>
          <w:p>
            <w:r>
              <w:rPr>
                <w:sz w:val="20"/>
              </w:rPr>
              <w:t>+1561 bps</w:t>
            </w:r>
          </w:p>
        </w:tc>
        <w:tc>
          <w:tcPr>
            <w:tcW w:type="dxa" w:w="1296"/>
          </w:tcPr>
          <w:p>
            <w:r>
              <w:rPr>
                <w:sz w:val="20"/>
              </w:rPr>
              <w:t>57.5%</w:t>
            </w:r>
          </w:p>
        </w:tc>
        <w:tc>
          <w:tcPr>
            <w:tcW w:type="dxa" w:w="1296"/>
          </w:tcPr>
          <w:p>
            <w:r>
              <w:rPr>
                <w:sz w:val="20"/>
              </w:rPr>
              <w:t>51.3%</w:t>
            </w:r>
          </w:p>
        </w:tc>
        <w:tc>
          <w:tcPr>
            <w:tcW w:type="dxa" w:w="1296"/>
          </w:tcPr>
          <w:p>
            <w:r>
              <w:rPr>
                <w:sz w:val="20"/>
              </w:rPr>
              <w:t>+616 bps</w:t>
            </w:r>
          </w:p>
        </w:tc>
      </w:tr>
      <w:tr>
        <w:tc>
          <w:tcPr>
            <w:tcW w:type="dxa" w:w="2160"/>
          </w:tcPr>
          <w:p>
            <w:r>
              <w:rPr>
                <w:sz w:val="20"/>
              </w:rPr>
              <w:t>EBITDA (Rs. Mn)</w:t>
            </w:r>
          </w:p>
        </w:tc>
        <w:tc>
          <w:tcPr>
            <w:tcW w:type="dxa" w:w="1296"/>
          </w:tcPr>
          <w:p>
            <w:r>
              <w:rPr>
                <w:sz w:val="20"/>
              </w:rPr>
              <w:t>610</w:t>
            </w:r>
          </w:p>
        </w:tc>
        <w:tc>
          <w:tcPr>
            <w:tcW w:type="dxa" w:w="1296"/>
          </w:tcPr>
          <w:p>
            <w:r>
              <w:rPr>
                <w:sz w:val="20"/>
              </w:rPr>
              <w:t>148</w:t>
            </w:r>
          </w:p>
        </w:tc>
        <w:tc>
          <w:tcPr>
            <w:tcW w:type="dxa" w:w="1296"/>
          </w:tcPr>
          <w:p>
            <w:r>
              <w:rPr>
                <w:sz w:val="20"/>
              </w:rPr>
              <w:t>312.2%</w:t>
            </w:r>
          </w:p>
        </w:tc>
        <w:tc>
          <w:tcPr>
            <w:tcW w:type="dxa" w:w="1296"/>
          </w:tcPr>
          <w:p>
            <w:r>
              <w:rPr>
                <w:sz w:val="20"/>
              </w:rPr>
              <w:t>2,396</w:t>
            </w:r>
          </w:p>
        </w:tc>
        <w:tc>
          <w:tcPr>
            <w:tcW w:type="dxa" w:w="1296"/>
          </w:tcPr>
          <w:p>
            <w:r>
              <w:rPr>
                <w:sz w:val="20"/>
              </w:rPr>
              <w:t>1,897</w:t>
            </w:r>
          </w:p>
        </w:tc>
        <w:tc>
          <w:tcPr>
            <w:tcW w:type="dxa" w:w="1296"/>
          </w:tcPr>
          <w:p>
            <w:r>
              <w:rPr>
                <w:sz w:val="20"/>
              </w:rPr>
              <w:t>26.3%</w:t>
            </w:r>
          </w:p>
        </w:tc>
      </w:tr>
      <w:tr>
        <w:tc>
          <w:tcPr>
            <w:tcW w:type="dxa" w:w="2160"/>
          </w:tcPr>
          <w:p>
            <w:r>
              <w:rPr>
                <w:sz w:val="20"/>
              </w:rPr>
              <w:t>EBITDA Margin %</w:t>
            </w:r>
          </w:p>
        </w:tc>
        <w:tc>
          <w:tcPr>
            <w:tcW w:type="dxa" w:w="1296"/>
          </w:tcPr>
          <w:p>
            <w:r>
              <w:rPr>
                <w:sz w:val="20"/>
              </w:rPr>
              <w:t>6.3%</w:t>
            </w:r>
          </w:p>
        </w:tc>
        <w:tc>
          <w:tcPr>
            <w:tcW w:type="dxa" w:w="1296"/>
          </w:tcPr>
          <w:p>
            <w:r>
              <w:rPr>
                <w:sz w:val="20"/>
              </w:rPr>
              <w:t>3.2%</w:t>
            </w:r>
          </w:p>
        </w:tc>
        <w:tc>
          <w:tcPr>
            <w:tcW w:type="dxa" w:w="1296"/>
          </w:tcPr>
          <w:p>
            <w:r>
              <w:rPr>
                <w:sz w:val="20"/>
              </w:rPr>
              <w:t>+310 bps</w:t>
            </w:r>
          </w:p>
        </w:tc>
        <w:tc>
          <w:tcPr>
            <w:tcW w:type="dxa" w:w="1296"/>
          </w:tcPr>
          <w:p>
            <w:r>
              <w:rPr>
                <w:sz w:val="20"/>
              </w:rPr>
              <w:t>9.7%</w:t>
            </w:r>
          </w:p>
        </w:tc>
        <w:tc>
          <w:tcPr>
            <w:tcW w:type="dxa" w:w="1296"/>
          </w:tcPr>
          <w:p>
            <w:r>
              <w:rPr>
                <w:sz w:val="20"/>
              </w:rPr>
              <w:t>10.6%</w:t>
            </w:r>
          </w:p>
        </w:tc>
        <w:tc>
          <w:tcPr>
            <w:tcW w:type="dxa" w:w="1296"/>
          </w:tcPr>
          <w:p>
            <w:r>
              <w:rPr>
                <w:sz w:val="20"/>
              </w:rPr>
              <w:t>-90 bps</w:t>
            </w:r>
          </w:p>
        </w:tc>
      </w:tr>
      <w:tr>
        <w:tc>
          <w:tcPr>
            <w:tcW w:type="dxa" w:w="2160"/>
          </w:tcPr>
          <w:p>
            <w:r>
              <w:rPr>
                <w:sz w:val="20"/>
              </w:rPr>
              <w:t>PAT (Rs. Mn)</w:t>
            </w:r>
          </w:p>
        </w:tc>
        <w:tc>
          <w:tcPr>
            <w:tcW w:type="dxa" w:w="1296"/>
          </w:tcPr>
          <w:p>
            <w:r>
              <w:rPr>
                <w:sz w:val="20"/>
              </w:rPr>
              <w:t>(399)</w:t>
            </w:r>
          </w:p>
        </w:tc>
        <w:tc>
          <w:tcPr>
            <w:tcW w:type="dxa" w:w="1296"/>
          </w:tcPr>
          <w:p>
            <w:r>
              <w:rPr>
                <w:sz w:val="20"/>
              </w:rPr>
              <w:t>64</w:t>
            </w:r>
          </w:p>
        </w:tc>
        <w:tc>
          <w:tcPr>
            <w:tcW w:type="dxa" w:w="1296"/>
          </w:tcPr>
          <w:p>
            <w:r>
              <w:rPr>
                <w:sz w:val="20"/>
              </w:rPr>
              <w:t>NM</w:t>
            </w:r>
          </w:p>
        </w:tc>
        <w:tc>
          <w:tcPr>
            <w:tcW w:type="dxa" w:w="1296"/>
          </w:tcPr>
          <w:p>
            <w:r>
              <w:rPr>
                <w:sz w:val="20"/>
              </w:rPr>
              <w:t>352</w:t>
            </w:r>
          </w:p>
        </w:tc>
        <w:tc>
          <w:tcPr>
            <w:tcW w:type="dxa" w:w="1296"/>
          </w:tcPr>
          <w:p>
            <w:r>
              <w:rPr>
                <w:sz w:val="20"/>
              </w:rPr>
              <w:t>1,750</w:t>
            </w:r>
          </w:p>
        </w:tc>
        <w:tc>
          <w:tcPr>
            <w:tcW w:type="dxa" w:w="1296"/>
          </w:tcPr>
          <w:p>
            <w:r>
              <w:rPr>
                <w:sz w:val="20"/>
              </w:rPr>
              <w:t>-79.9%</w:t>
            </w:r>
          </w:p>
        </w:tc>
      </w:tr>
      <w:tr>
        <w:tc>
          <w:tcPr>
            <w:tcW w:type="dxa" w:w="2160"/>
          </w:tcPr>
          <w:p>
            <w:r>
              <w:rPr>
                <w:sz w:val="20"/>
              </w:rPr>
              <w:t>Adjusted PAT (Rs. Mn)</w:t>
            </w:r>
          </w:p>
        </w:tc>
        <w:tc>
          <w:tcPr>
            <w:tcW w:type="dxa" w:w="1296"/>
          </w:tcPr>
          <w:p>
            <w:r>
              <w:rPr>
                <w:sz w:val="20"/>
              </w:rPr>
              <w:t>(333)</w:t>
            </w:r>
          </w:p>
        </w:tc>
        <w:tc>
          <w:tcPr>
            <w:tcW w:type="dxa" w:w="1296"/>
          </w:tcPr>
          <w:p>
            <w:r>
              <w:rPr>
                <w:sz w:val="20"/>
              </w:rPr>
              <w:t>64</w:t>
            </w:r>
          </w:p>
        </w:tc>
        <w:tc>
          <w:tcPr>
            <w:tcW w:type="dxa" w:w="1296"/>
          </w:tcPr>
          <w:p>
            <w:r>
              <w:rPr>
                <w:sz w:val="20"/>
              </w:rPr>
              <w:t>NM</w:t>
            </w:r>
          </w:p>
        </w:tc>
        <w:tc>
          <w:tcPr>
            <w:tcW w:type="dxa" w:w="1296"/>
          </w:tcPr>
          <w:p>
            <w:r>
              <w:rPr>
                <w:sz w:val="20"/>
              </w:rPr>
              <w:t>760</w:t>
            </w:r>
          </w:p>
        </w:tc>
        <w:tc>
          <w:tcPr>
            <w:tcW w:type="dxa" w:w="1296"/>
          </w:tcPr>
          <w:p>
            <w:r>
              <w:rPr>
                <w:sz w:val="20"/>
              </w:rPr>
              <w:t>1,691</w:t>
            </w:r>
          </w:p>
        </w:tc>
        <w:tc>
          <w:tcPr>
            <w:tcW w:type="dxa" w:w="1296"/>
          </w:tcPr>
          <w:p>
            <w:r>
              <w:rPr>
                <w:sz w:val="20"/>
              </w:rPr>
              <w:t>-55.1%</w:t>
            </w:r>
          </w:p>
        </w:tc>
      </w:tr>
    </w:tbl>
    <w:p/>
    <w:p>
      <w:pPr>
        <w:pStyle w:val="Heading2"/>
      </w:pPr>
      <w:r>
        <w:t>Historical Revenue Trend</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20"/>
              </w:rPr>
              <w:t>Year</w:t>
            </w:r>
          </w:p>
        </w:tc>
        <w:tc>
          <w:tcPr>
            <w:tcW w:type="dxa" w:w="1872"/>
          </w:tcPr>
          <w:p>
            <w:r>
              <w:rPr>
                <w:b/>
                <w:sz w:val="20"/>
              </w:rPr>
              <w:t>Revenue (Rs. Mn)</w:t>
            </w:r>
          </w:p>
        </w:tc>
        <w:tc>
          <w:tcPr>
            <w:tcW w:type="dxa" w:w="1440"/>
          </w:tcPr>
          <w:p>
            <w:r>
              <w:rPr>
                <w:b/>
                <w:sz w:val="20"/>
              </w:rPr>
              <w:t>YoY Growth</w:t>
            </w:r>
          </w:p>
        </w:tc>
        <w:tc>
          <w:tcPr>
            <w:tcW w:type="dxa" w:w="1728"/>
          </w:tcPr>
          <w:p>
            <w:r>
              <w:rPr>
                <w:b/>
                <w:sz w:val="20"/>
              </w:rPr>
              <w:t>Gross Margin %</w:t>
            </w:r>
          </w:p>
        </w:tc>
        <w:tc>
          <w:tcPr>
            <w:tcW w:type="dxa" w:w="1728"/>
          </w:tcPr>
          <w:p>
            <w:r>
              <w:rPr>
                <w:b/>
                <w:sz w:val="20"/>
              </w:rPr>
              <w:t>PAT (Rs. Mn)</w:t>
            </w:r>
          </w:p>
        </w:tc>
        <w:tc>
          <w:tcPr>
            <w:tcW w:type="dxa" w:w="1440"/>
          </w:tcPr>
          <w:p>
            <w:r>
              <w:rPr>
                <w:b/>
                <w:sz w:val="20"/>
              </w:rPr>
              <w:t>EPS (Rs.)</w:t>
            </w:r>
          </w:p>
        </w:tc>
      </w:tr>
      <w:tr>
        <w:tc>
          <w:tcPr>
            <w:tcW w:type="dxa" w:w="1440"/>
          </w:tcPr>
          <w:p>
            <w:r>
              <w:rPr>
                <w:sz w:val="20"/>
              </w:rPr>
              <w:t>FY21</w:t>
            </w:r>
          </w:p>
        </w:tc>
        <w:tc>
          <w:tcPr>
            <w:tcW w:type="dxa" w:w="1872"/>
          </w:tcPr>
          <w:p>
            <w:r>
              <w:rPr>
                <w:sz w:val="20"/>
              </w:rPr>
              <w:t>18,667</w:t>
            </w:r>
          </w:p>
        </w:tc>
        <w:tc>
          <w:tcPr>
            <w:tcW w:type="dxa" w:w="1440"/>
          </w:tcPr>
          <w:p>
            <w:r>
              <w:rPr>
                <w:sz w:val="20"/>
              </w:rPr>
              <w:t>-</w:t>
            </w:r>
          </w:p>
        </w:tc>
        <w:tc>
          <w:tcPr>
            <w:tcW w:type="dxa" w:w="1728"/>
          </w:tcPr>
          <w:p>
            <w:r>
              <w:rPr>
                <w:sz w:val="20"/>
              </w:rPr>
              <w:t>54.4%</w:t>
            </w:r>
          </w:p>
        </w:tc>
        <w:tc>
          <w:tcPr>
            <w:tcW w:type="dxa" w:w="1728"/>
          </w:tcPr>
          <w:p>
            <w:r>
              <w:rPr>
                <w:sz w:val="20"/>
              </w:rPr>
              <w:t>1,187</w:t>
            </w:r>
          </w:p>
        </w:tc>
        <w:tc>
          <w:tcPr>
            <w:tcW w:type="dxa" w:w="1440"/>
          </w:tcPr>
          <w:p>
            <w:r>
              <w:rPr>
                <w:sz w:val="20"/>
              </w:rPr>
              <w:t>19.55</w:t>
            </w:r>
          </w:p>
        </w:tc>
      </w:tr>
      <w:tr>
        <w:tc>
          <w:tcPr>
            <w:tcW w:type="dxa" w:w="1440"/>
          </w:tcPr>
          <w:p>
            <w:r>
              <w:rPr>
                <w:sz w:val="20"/>
              </w:rPr>
              <w:t>FY22</w:t>
            </w:r>
          </w:p>
        </w:tc>
        <w:tc>
          <w:tcPr>
            <w:tcW w:type="dxa" w:w="1872"/>
          </w:tcPr>
          <w:p>
            <w:r>
              <w:rPr>
                <w:sz w:val="20"/>
              </w:rPr>
              <w:t>20,091</w:t>
            </w:r>
          </w:p>
        </w:tc>
        <w:tc>
          <w:tcPr>
            <w:tcW w:type="dxa" w:w="1440"/>
          </w:tcPr>
          <w:p>
            <w:r>
              <w:rPr>
                <w:sz w:val="20"/>
              </w:rPr>
              <w:t>7.6%</w:t>
            </w:r>
          </w:p>
        </w:tc>
        <w:tc>
          <w:tcPr>
            <w:tcW w:type="dxa" w:w="1728"/>
          </w:tcPr>
          <w:p>
            <w:r>
              <w:rPr>
                <w:sz w:val="20"/>
              </w:rPr>
              <w:t>50.7%</w:t>
            </w:r>
          </w:p>
        </w:tc>
        <w:tc>
          <w:tcPr>
            <w:tcW w:type="dxa" w:w="1728"/>
          </w:tcPr>
          <w:p>
            <w:r>
              <w:rPr>
                <w:sz w:val="20"/>
              </w:rPr>
              <w:t>3,089</w:t>
            </w:r>
          </w:p>
        </w:tc>
        <w:tc>
          <w:tcPr>
            <w:tcW w:type="dxa" w:w="1440"/>
          </w:tcPr>
          <w:p>
            <w:r>
              <w:rPr>
                <w:sz w:val="20"/>
              </w:rPr>
              <w:t>48.54</w:t>
            </w:r>
          </w:p>
        </w:tc>
      </w:tr>
      <w:tr>
        <w:tc>
          <w:tcPr>
            <w:tcW w:type="dxa" w:w="1440"/>
          </w:tcPr>
          <w:p>
            <w:r>
              <w:rPr>
                <w:sz w:val="20"/>
              </w:rPr>
              <w:t>FY23</w:t>
            </w:r>
          </w:p>
        </w:tc>
        <w:tc>
          <w:tcPr>
            <w:tcW w:type="dxa" w:w="1872"/>
          </w:tcPr>
          <w:p>
            <w:r>
              <w:rPr>
                <w:sz w:val="20"/>
              </w:rPr>
              <w:t>22,548</w:t>
            </w:r>
          </w:p>
        </w:tc>
        <w:tc>
          <w:tcPr>
            <w:tcW w:type="dxa" w:w="1440"/>
          </w:tcPr>
          <w:p>
            <w:r>
              <w:rPr>
                <w:sz w:val="20"/>
              </w:rPr>
              <w:t>12.2%</w:t>
            </w:r>
          </w:p>
        </w:tc>
        <w:tc>
          <w:tcPr>
            <w:tcW w:type="dxa" w:w="1728"/>
          </w:tcPr>
          <w:p>
            <w:r>
              <w:rPr>
                <w:sz w:val="20"/>
              </w:rPr>
              <w:t>48.9%</w:t>
            </w:r>
          </w:p>
        </w:tc>
        <w:tc>
          <w:tcPr>
            <w:tcW w:type="dxa" w:w="1728"/>
          </w:tcPr>
          <w:p>
            <w:r>
              <w:rPr>
                <w:sz w:val="20"/>
              </w:rPr>
              <w:t>3,104</w:t>
            </w:r>
          </w:p>
        </w:tc>
        <w:tc>
          <w:tcPr>
            <w:tcW w:type="dxa" w:w="1440"/>
          </w:tcPr>
          <w:p>
            <w:r>
              <w:rPr>
                <w:sz w:val="20"/>
              </w:rPr>
              <w:t>48.78</w:t>
            </w:r>
          </w:p>
        </w:tc>
      </w:tr>
      <w:tr>
        <w:tc>
          <w:tcPr>
            <w:tcW w:type="dxa" w:w="1440"/>
          </w:tcPr>
          <w:p>
            <w:r>
              <w:rPr>
                <w:sz w:val="20"/>
              </w:rPr>
              <w:t>FY24</w:t>
            </w:r>
          </w:p>
        </w:tc>
        <w:tc>
          <w:tcPr>
            <w:tcW w:type="dxa" w:w="1872"/>
          </w:tcPr>
          <w:p>
            <w:r>
              <w:rPr>
                <w:sz w:val="20"/>
              </w:rPr>
              <w:t>23,278</w:t>
            </w:r>
          </w:p>
        </w:tc>
        <w:tc>
          <w:tcPr>
            <w:tcW w:type="dxa" w:w="1440"/>
          </w:tcPr>
          <w:p>
            <w:r>
              <w:rPr>
                <w:sz w:val="20"/>
              </w:rPr>
              <w:t>3.2%</w:t>
            </w:r>
          </w:p>
        </w:tc>
        <w:tc>
          <w:tcPr>
            <w:tcW w:type="dxa" w:w="1728"/>
          </w:tcPr>
          <w:p>
            <w:r>
              <w:rPr>
                <w:sz w:val="20"/>
              </w:rPr>
              <w:t>50.8%</w:t>
            </w:r>
          </w:p>
        </w:tc>
        <w:tc>
          <w:tcPr>
            <w:tcW w:type="dxa" w:w="1728"/>
          </w:tcPr>
          <w:p>
            <w:r>
              <w:rPr>
                <w:sz w:val="20"/>
              </w:rPr>
              <w:t>2,669</w:t>
            </w:r>
          </w:p>
        </w:tc>
        <w:tc>
          <w:tcPr>
            <w:tcW w:type="dxa" w:w="1440"/>
          </w:tcPr>
          <w:p>
            <w:r>
              <w:rPr>
                <w:sz w:val="20"/>
              </w:rPr>
              <w:t>41.94</w:t>
            </w:r>
          </w:p>
        </w:tc>
      </w:tr>
      <w:tr>
        <w:tc>
          <w:tcPr>
            <w:tcW w:type="dxa" w:w="1440"/>
          </w:tcPr>
          <w:p>
            <w:r>
              <w:rPr>
                <w:sz w:val="20"/>
              </w:rPr>
              <w:t>FY25</w:t>
            </w:r>
          </w:p>
        </w:tc>
        <w:tc>
          <w:tcPr>
            <w:tcW w:type="dxa" w:w="1872"/>
          </w:tcPr>
          <w:p>
            <w:r>
              <w:rPr>
                <w:sz w:val="20"/>
              </w:rPr>
              <w:t>27,089</w:t>
            </w:r>
          </w:p>
        </w:tc>
        <w:tc>
          <w:tcPr>
            <w:tcW w:type="dxa" w:w="1440"/>
          </w:tcPr>
          <w:p>
            <w:r>
              <w:rPr>
                <w:sz w:val="20"/>
              </w:rPr>
              <w:t>16.4%</w:t>
            </w:r>
          </w:p>
        </w:tc>
        <w:tc>
          <w:tcPr>
            <w:tcW w:type="dxa" w:w="1728"/>
          </w:tcPr>
          <w:p>
            <w:r>
              <w:rPr>
                <w:sz w:val="20"/>
              </w:rPr>
              <w:t>52.5%</w:t>
            </w:r>
          </w:p>
        </w:tc>
        <w:tc>
          <w:tcPr>
            <w:tcW w:type="dxa" w:w="1728"/>
          </w:tcPr>
          <w:p>
            <w:r>
              <w:rPr>
                <w:sz w:val="20"/>
              </w:rPr>
              <w:t>3,469</w:t>
            </w:r>
          </w:p>
        </w:tc>
        <w:tc>
          <w:tcPr>
            <w:tcW w:type="dxa" w:w="1440"/>
          </w:tcPr>
          <w:p>
            <w:r>
              <w:rPr>
                <w:sz w:val="20"/>
              </w:rPr>
              <w:t>54.52</w:t>
            </w:r>
          </w:p>
        </w:tc>
      </w:tr>
    </w:tbl>
    <w:p/>
    <w:p>
      <w:r>
        <w:t>Revenue CAGR over FY21-FY25 stands at approximately 10%. The personal care segment has compounded at 16.5% CAGR over this period, while Food &amp; Nutrition has grown at 8.3% CAGR. Gross margins have recovered from the FY23 trough of 48.9% to 52.5% in FY25 through pricing actions, hedging, and product mix improvement.</w:t>
      </w:r>
    </w:p>
    <w:p>
      <w:pPr>
        <w:pStyle w:val="Heading1"/>
      </w:pPr>
      <w:r>
        <w:t>3. Future Financial Projections</w:t>
      </w:r>
    </w:p>
    <w:p>
      <w:pPr>
        <w:pStyle w:val="Heading2"/>
      </w:pPr>
      <w:r>
        <w:t>Management Guidance from Conference Calls</w:t>
      </w:r>
    </w:p>
    <w:p>
      <w:r>
        <w:t>Base business EBITDA margin target: Management has guided for 16-17-18% EBITDA margins on the base business (excluding Comfort Click) over the next 1-2 years, up from the current ~13-14% levels. This is expected to come through gross margin expansion (product-by-product), operating leverage from scale, and cost efficiencies.</w:t>
      </w:r>
    </w:p>
    <w:p>
      <w:r>
        <w:t>Comfort Click EBITDA margins: Expected to operate at 14%+ EBITDA margins on an annualized basis. The business has higher gross margins (lifting consolidated GM to ~66-67% on an annualized basis) but also higher variable expenses tied to digital marketing.</w:t>
      </w:r>
    </w:p>
    <w:p>
      <w:r>
        <w:t>Consolidated gross margin: On an annualized basis including Comfort Click, the management has guided for ~66-67% gross margins, a massive jump from the 52.5% in FY25 purely due to business mix shift.</w:t>
      </w:r>
    </w:p>
    <w:p>
      <w:pPr>
        <w:pStyle w:val="Heading2"/>
      </w:pPr>
      <w:r>
        <w:t>My Forward Estimates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20"/>
              </w:rPr>
              <w:t>Metric</w:t>
            </w:r>
          </w:p>
        </w:tc>
        <w:tc>
          <w:tcPr>
            <w:tcW w:type="dxa" w:w="2592"/>
          </w:tcPr>
          <w:p>
            <w:r>
              <w:rPr>
                <w:b/>
                <w:sz w:val="20"/>
              </w:rPr>
              <w:t>FY26E</w:t>
            </w:r>
          </w:p>
        </w:tc>
        <w:tc>
          <w:tcPr>
            <w:tcW w:type="dxa" w:w="2592"/>
          </w:tcPr>
          <w:p>
            <w:r>
              <w:rPr>
                <w:b/>
                <w:sz w:val="20"/>
              </w:rPr>
              <w:t>FY27E</w:t>
            </w:r>
          </w:p>
        </w:tc>
        <w:tc>
          <w:tcPr>
            <w:tcW w:type="dxa" w:w="2592"/>
          </w:tcPr>
          <w:p>
            <w:r>
              <w:rPr>
                <w:b/>
                <w:sz w:val="20"/>
              </w:rPr>
              <w:t>FY28E</w:t>
            </w:r>
          </w:p>
        </w:tc>
      </w:tr>
      <w:tr>
        <w:tc>
          <w:tcPr>
            <w:tcW w:type="dxa" w:w="2160"/>
          </w:tcPr>
          <w:p>
            <w:r>
              <w:rPr>
                <w:sz w:val="20"/>
              </w:rPr>
              <w:t>Revenue (Rs. Cr)</w:t>
            </w:r>
          </w:p>
        </w:tc>
        <w:tc>
          <w:tcPr>
            <w:tcW w:type="dxa" w:w="2592"/>
          </w:tcPr>
          <w:p>
            <w:r>
              <w:rPr>
                <w:sz w:val="20"/>
              </w:rPr>
              <w:t>3,400-3,500</w:t>
            </w:r>
          </w:p>
        </w:tc>
        <w:tc>
          <w:tcPr>
            <w:tcW w:type="dxa" w:w="2592"/>
          </w:tcPr>
          <w:p>
            <w:r>
              <w:rPr>
                <w:sz w:val="20"/>
              </w:rPr>
              <w:t>4,000-4,200</w:t>
            </w:r>
          </w:p>
        </w:tc>
        <w:tc>
          <w:tcPr>
            <w:tcW w:type="dxa" w:w="2592"/>
          </w:tcPr>
          <w:p>
            <w:r>
              <w:rPr>
                <w:sz w:val="20"/>
              </w:rPr>
              <w:t>4,700-5,000</w:t>
            </w:r>
          </w:p>
        </w:tc>
      </w:tr>
      <w:tr>
        <w:tc>
          <w:tcPr>
            <w:tcW w:type="dxa" w:w="2160"/>
          </w:tcPr>
          <w:p>
            <w:r>
              <w:rPr>
                <w:sz w:val="20"/>
              </w:rPr>
              <w:t>Revenue Growth</w:t>
            </w:r>
          </w:p>
        </w:tc>
        <w:tc>
          <w:tcPr>
            <w:tcW w:type="dxa" w:w="2592"/>
          </w:tcPr>
          <w:p>
            <w:r>
              <w:rPr>
                <w:sz w:val="20"/>
              </w:rPr>
              <w:t>25-30%</w:t>
            </w:r>
          </w:p>
        </w:tc>
        <w:tc>
          <w:tcPr>
            <w:tcW w:type="dxa" w:w="2592"/>
          </w:tcPr>
          <w:p>
            <w:r>
              <w:rPr>
                <w:sz w:val="20"/>
              </w:rPr>
              <w:t>17-20%</w:t>
            </w:r>
          </w:p>
        </w:tc>
        <w:tc>
          <w:tcPr>
            <w:tcW w:type="dxa" w:w="2592"/>
          </w:tcPr>
          <w:p>
            <w:r>
              <w:rPr>
                <w:sz w:val="20"/>
              </w:rPr>
              <w:t>17-20%</w:t>
            </w:r>
          </w:p>
        </w:tc>
      </w:tr>
      <w:tr>
        <w:tc>
          <w:tcPr>
            <w:tcW w:type="dxa" w:w="2160"/>
          </w:tcPr>
          <w:p>
            <w:r>
              <w:rPr>
                <w:sz w:val="20"/>
              </w:rPr>
              <w:t>Gross Margin %</w:t>
            </w:r>
          </w:p>
        </w:tc>
        <w:tc>
          <w:tcPr>
            <w:tcW w:type="dxa" w:w="2592"/>
          </w:tcPr>
          <w:p>
            <w:r>
              <w:rPr>
                <w:sz w:val="20"/>
              </w:rPr>
              <w:t>57-58%</w:t>
            </w:r>
          </w:p>
        </w:tc>
        <w:tc>
          <w:tcPr>
            <w:tcW w:type="dxa" w:w="2592"/>
          </w:tcPr>
          <w:p>
            <w:r>
              <w:rPr>
                <w:sz w:val="20"/>
              </w:rPr>
              <w:t>60-62%</w:t>
            </w:r>
          </w:p>
        </w:tc>
        <w:tc>
          <w:tcPr>
            <w:tcW w:type="dxa" w:w="2592"/>
          </w:tcPr>
          <w:p>
            <w:r>
              <w:rPr>
                <w:sz w:val="20"/>
              </w:rPr>
              <w:t>62-64%</w:t>
            </w:r>
          </w:p>
        </w:tc>
      </w:tr>
      <w:tr>
        <w:tc>
          <w:tcPr>
            <w:tcW w:type="dxa" w:w="2160"/>
          </w:tcPr>
          <w:p>
            <w:r>
              <w:rPr>
                <w:sz w:val="20"/>
              </w:rPr>
              <w:t>EBITDA Margin %</w:t>
            </w:r>
          </w:p>
        </w:tc>
        <w:tc>
          <w:tcPr>
            <w:tcW w:type="dxa" w:w="2592"/>
          </w:tcPr>
          <w:p>
            <w:r>
              <w:rPr>
                <w:sz w:val="20"/>
              </w:rPr>
              <w:t>9-10%</w:t>
            </w:r>
          </w:p>
        </w:tc>
        <w:tc>
          <w:tcPr>
            <w:tcW w:type="dxa" w:w="2592"/>
          </w:tcPr>
          <w:p>
            <w:r>
              <w:rPr>
                <w:sz w:val="20"/>
              </w:rPr>
              <w:t>12-14%</w:t>
            </w:r>
          </w:p>
        </w:tc>
        <w:tc>
          <w:tcPr>
            <w:tcW w:type="dxa" w:w="2592"/>
          </w:tcPr>
          <w:p>
            <w:r>
              <w:rPr>
                <w:sz w:val="20"/>
              </w:rPr>
              <w:t>14-16%</w:t>
            </w:r>
          </w:p>
        </w:tc>
      </w:tr>
      <w:tr>
        <w:tc>
          <w:tcPr>
            <w:tcW w:type="dxa" w:w="2160"/>
          </w:tcPr>
          <w:p>
            <w:r>
              <w:rPr>
                <w:sz w:val="20"/>
              </w:rPr>
              <w:t>PAT Situation</w:t>
            </w:r>
          </w:p>
        </w:tc>
        <w:tc>
          <w:tcPr>
            <w:tcW w:type="dxa" w:w="2592"/>
          </w:tcPr>
          <w:p>
            <w:r>
              <w:rPr>
                <w:sz w:val="20"/>
              </w:rPr>
              <w:t>Near breakeven / slight loss</w:t>
            </w:r>
          </w:p>
        </w:tc>
        <w:tc>
          <w:tcPr>
            <w:tcW w:type="dxa" w:w="2592"/>
          </w:tcPr>
          <w:p>
            <w:r>
              <w:rPr>
                <w:sz w:val="20"/>
              </w:rPr>
              <w:t>Positive, cash EPS accretive</w:t>
            </w:r>
          </w:p>
        </w:tc>
        <w:tc>
          <w:tcPr>
            <w:tcW w:type="dxa" w:w="2592"/>
          </w:tcPr>
          <w:p>
            <w:r>
              <w:rPr>
                <w:sz w:val="20"/>
              </w:rPr>
              <w:t>Meaningful PAT growth</w:t>
            </w:r>
          </w:p>
        </w:tc>
      </w:tr>
      <w:tr>
        <w:tc>
          <w:tcPr>
            <w:tcW w:type="dxa" w:w="2160"/>
          </w:tcPr>
          <w:p>
            <w:r>
              <w:rPr>
                <w:sz w:val="20"/>
              </w:rPr>
              <w:t>Key Driver</w:t>
            </w:r>
          </w:p>
        </w:tc>
        <w:tc>
          <w:tcPr>
            <w:tcW w:type="dxa" w:w="2592"/>
          </w:tcPr>
          <w:p>
            <w:r>
              <w:rPr>
                <w:sz w:val="20"/>
              </w:rPr>
              <w:t>Comfort Click full year + RiteBite scaling</w:t>
            </w:r>
          </w:p>
        </w:tc>
        <w:tc>
          <w:tcPr>
            <w:tcW w:type="dxa" w:w="2592"/>
          </w:tcPr>
          <w:p>
            <w:r>
              <w:rPr>
                <w:sz w:val="20"/>
              </w:rPr>
              <w:t>Operating leverage + margin normalization</w:t>
            </w:r>
          </w:p>
        </w:tc>
        <w:tc>
          <w:tcPr>
            <w:tcW w:type="dxa" w:w="2592"/>
          </w:tcPr>
          <w:p>
            <w:r>
              <w:rPr>
                <w:sz w:val="20"/>
              </w:rPr>
              <w:t>Full integration + base business at 16-17% EBITDA</w:t>
            </w:r>
          </w:p>
        </w:tc>
      </w:tr>
    </w:tbl>
    <w:p/>
    <w:p>
      <w:r>
        <w:t>Important caveats: FY26 is a transition year. The PAT is suppressed due to approximately Rs.37 Cr per quarter in interest costs on the bridge loan (5% on GBP240 Mn), approximately Rs.47 Cr per quarter in brand amortization (Rs.2,400 Cr amortized over 15 years), and exceptional items related to acquisition and Naturell liquidation. Management has indicated FY26 is likely the bottom for PAT, and from FY27, even the newly acquired entity will be EPS accretive at the PAT level.</w:t>
      </w:r>
    </w:p>
    <w:p>
      <w:pPr>
        <w:pStyle w:val="Heading1"/>
      </w:pPr>
      <w:r>
        <w:t>4. Red Flags Analysis</w:t>
      </w:r>
    </w:p>
    <w:p>
      <w:r>
        <w:rPr>
          <w:b/>
          <w:sz w:val="22"/>
        </w:rPr>
        <w:t>Complan Category Decline - Risk Rating: 7/10</w:t>
      </w:r>
    </w:p>
    <w:p>
      <w:r>
        <w:t>The HFD (Health Food Drink) category has been under pressure for years, growing at only 1-3% or flat. Complan holds only 4.1% market share in a Rs.6,700 Cr category (#4 rank). The category is losing relevance as consumers shift to protein bars, supplements, and other nutrition formats. Management acknowledges the category challenge and is trying to reframe Complan with relaunches and new product introductions, but this is a secular headwind. If the pivot fails, Complan becomes a drag on growth given the significant goodwill paid during the Heinz India acquisition.</w:t>
      </w:r>
    </w:p>
    <w:p>
      <w:r>
        <w:rPr>
          <w:b/>
          <w:sz w:val="22"/>
        </w:rPr>
        <w:t>Heavy Seasonality in Key Brands (Glucon-D &amp; Nycil) - Risk Rating: 6/10</w:t>
      </w:r>
    </w:p>
    <w:p>
      <w:r>
        <w:t>Glucon-D and Nycil are highly weather-dependent. In FY26, early and extended monsoons caused a washout in Q1-Q2 for these brands. Management admitted calendar year 2025 seasonality was the worst in 6-8 years. 80-90% of Glucon-D and Nycil sales are booked in Q4 and Q1, making full-year numbers highly vulnerable to weather. These brands carry higher-than-average margins, so a bad season disproportionately hurts EBITDA.</w:t>
      </w:r>
    </w:p>
    <w:p>
      <w:r>
        <w:rPr>
          <w:b/>
          <w:sz w:val="22"/>
        </w:rPr>
        <w:t>Bridge Loan &amp; Capital Structure Uncertainty - Risk Rating: 6/10</w:t>
      </w:r>
    </w:p>
    <w:p>
      <w:r>
        <w:t>The Comfort Click acquisition was funded through a GBP240 Mn (~Rs.2,500+ Cr) bridge loan at 5% interest. This is a 15-month facility. Management has not decided on the permanent capital structure - it could be equity dilution, long-term borrowing, or a mix. Interest cost alone is approximately Rs.37 Cr per quarter, which directly suppresses PAT. Any equity raise would dilute existing shareholders.</w:t>
      </w:r>
    </w:p>
    <w:p>
      <w:r>
        <w:rPr>
          <w:b/>
          <w:sz w:val="22"/>
        </w:rPr>
        <w:t>Lack of Segmental Disclosure - Risk Rating: 5/10</w:t>
      </w:r>
    </w:p>
    <w:p>
      <w:r>
        <w:t>Multiple analysts across all three conference calls have pressed management for better segmental disclosure, especially separating Comfort Click, RiteBite, and the base business. Management does not share brand-wise revenue, does not report Comfort Click separately, and does not share constant currency growth rates for international operations. This makes it very difficult to model the business and assess true organic growth. Management has promised improved disclosure by end of FY26 / beginning of FY27.</w:t>
      </w:r>
    </w:p>
    <w:p>
      <w:r>
        <w:rPr>
          <w:b/>
          <w:sz w:val="22"/>
        </w:rPr>
        <w:t>Comfort Click Integration Risk - Risk Rating: 5/10</w:t>
      </w:r>
    </w:p>
    <w:p>
      <w:r>
        <w:t>Comfort Click is a UK-based, digital-first, platform business operating primarily through Amazon in Europe. This is a completely different business model from Zydus Wellness traditional brick-and-mortar FMCG in India. The company has 340-350 employees in Comfort Click (mainly in Hyderabad and Baroda). While early signs are positive (4 months post-acquisition, no major surprises), the long-term integration of a digital European VMS business with an Indian FMCG company remains a key watch item.</w:t>
      </w:r>
    </w:p>
    <w:p>
      <w:r>
        <w:rPr>
          <w:b/>
          <w:sz w:val="22"/>
        </w:rPr>
        <w:t>Milk Price Inflation - Risk Rating: 5/10</w:t>
      </w:r>
    </w:p>
    <w:p>
      <w:r>
        <w:t>Milk is a key raw material for Nutralite (butter, ghee, dairy products). While other inputs have eased, milk prices remain elevated and trended higher in FY25. Management noted pricing concerns ahead. Nutralite is being scaled aggressively into dairy, cheese, and butter, increasing exposure to milk price volatility.</w:t>
      </w:r>
    </w:p>
    <w:p>
      <w:r>
        <w:rPr>
          <w:b/>
          <w:sz w:val="22"/>
        </w:rPr>
        <w:t>Negative PAT in Current Year - Risk Rating: 4/10</w:t>
      </w:r>
    </w:p>
    <w:p>
      <w:r>
        <w:t>The company reported a net loss of Rs.399 Mn in Q3 FY26 and Rs.333 Mn adjusted net loss. While this is largely due to non-cash amortization and acquisition-related costs, the optics are negative. FY26 full year will likely show a significantly depressed PAT. For valuation purposes, this makes P/E meaningless for the current year.</w:t>
      </w:r>
    </w:p>
    <w:p>
      <w:r>
        <w:rPr>
          <w:b/>
          <w:sz w:val="22"/>
        </w:rPr>
        <w:t>Currency Risk on International Operations - Risk Rating: 4/10</w:t>
      </w:r>
    </w:p>
    <w:p>
      <w:r>
        <w:t>With approximately one-third of revenue now international (EUR, GBP denominated), the company faces currency risk. Euro-rupee and GBP-rupee depreciation has been 3-4% annually. Management plans to start reporting constant currency growth from next year.</w:t>
      </w:r>
    </w:p>
    <w:p>
      <w:pPr>
        <w:pStyle w:val="Heading1"/>
      </w:pPr>
      <w:r>
        <w:t>5. Catalysts &amp; DNA Shift - What Can Drive Prices Up</w:t>
      </w:r>
    </w:p>
    <w:p>
      <w:pPr>
        <w:pStyle w:val="Heading2"/>
      </w:pPr>
      <w:r>
        <w:t>The Big Transformation: From Domestic FMCG to Global Wellness Platform</w:t>
      </w:r>
    </w:p>
    <w:p>
      <w:r>
        <w:t>This is the single most important narrative shift happening at Zydus Wellness. The company is undergoing a fundamental DNA change from a domestic, seasonal, low-margin FMCG player to a multi-geography, digital-first, high-margin wellness platform. Here is how:</w:t>
      </w:r>
    </w:p>
    <w:p>
      <w:r>
        <w:rPr>
          <w:b/>
          <w:sz w:val="24"/>
        </w:rPr>
        <w:t>Comfort Click - The Game Changer (High Conviction)</w:t>
      </w:r>
    </w:p>
    <w:p>
      <w:r>
        <w:t>Comfort Click (WeightWorld, maxmedix, Animigo) operates in the VMS (Vitamins, Minerals &amp; Supplements) space in Europe, one of the fastest-growing consumer health categories globally. The business has been growing at 57% CAGR over the last 5 years. It operates at significantly higher gross margins (lifting consolidated GM from ~52% to ~63-67%), is largely digital/D2C, has above 50% repeat purchase rates on marketplaces, and brand ratings above 4.6/5 on Amazon. The company is expanding into Poland, Finland, Portugal, UAE, and the US. If the US market takes off, this alone could become larger than the entire Indian business within 3-4 years. This acquisition completely changes the growth trajectory, margin profile, and valuation multiple that the market should assign to Zydus Wellness.</w:t>
      </w:r>
    </w:p>
    <w:p>
      <w:r>
        <w:rPr>
          <w:b/>
          <w:sz w:val="24"/>
        </w:rPr>
        <w:t>RiteBite Max Protein - Exceeding All Expectations</w:t>
      </w:r>
    </w:p>
    <w:p>
      <w:r>
        <w:t>Acquired in FY25, RiteBite Max Protein has doubled its legacy performance and exceeded internal projections within just one year. The brand is #1 in protein bars and protein snacking in India, a category that is growing at 25-30% annually driven by rising fitness consciousness. EBITDA has improved from breakeven at acquisition to approaching double-digit margins. The business is now present in 9 countries, 40-50 cities in India, with focused distribution through top outlets. Management has hinted at Rs.500 Cr revenue potential. Recently launched Millet Wafer Bar and RTD (ready-to-drink) product are contributing to expansion.</w:t>
      </w:r>
    </w:p>
    <w:p>
      <w:r>
        <w:rPr>
          <w:b/>
          <w:sz w:val="24"/>
        </w:rPr>
        <w:t>Gross Margin Structural Uplift</w:t>
      </w:r>
    </w:p>
    <w:p>
      <w:r>
        <w:t>The most tangible near-term catalyst is the structural gross margin expansion. Q3 FY26 GM jumped to 63.3% from 47.7% a year ago - a 1,561 bps expansion. This is not a one-off; management guided 66-67% annualized GM going forward due to Comfort Click mix. Even the base business has been delivering consistent margin expansion (cumulative 361 bps over FY24-FY25). When EBITDA margins catch up (currently suppressed by acquisition costs), the earnings power of this business will be dramatically different.</w:t>
      </w:r>
    </w:p>
    <w:p>
      <w:r>
        <w:rPr>
          <w:b/>
          <w:sz w:val="24"/>
        </w:rPr>
        <w:t>Insider Buying - Strong Signal</w:t>
      </w:r>
    </w:p>
    <w:p>
      <w:r>
        <w:t>Multiple designated persons (company insiders) have been buying shares from the open market in March 2026: Vineet Shrivastava (787 shares), Yatin Desai (500 shares), Rajat Bhargava (750 shares), Punit Adhia (300 shares), and Rinesh Gajjar (1,500 shares). While individual amounts are small, the pattern of multiple insiders buying simultaneously at around Rs.380-400 levels is a positive signal about management confidence in the company forward trajectory.</w:t>
      </w:r>
    </w:p>
    <w:p>
      <w:r>
        <w:rPr>
          <w:b/>
          <w:sz w:val="24"/>
        </w:rPr>
        <w:t>Distribution Expansion Still Early Innings</w:t>
      </w:r>
    </w:p>
    <w:p>
      <w:r>
        <w:t>Direct reach has grown from 6.1 lakh outlets to 7 lakh, with an aspiration to reach 3-3.5 million and eventually 4 million outlets. Feet-on-street reps have grown from 2,000 to 2,800. Organised trade saliency has jumped from 13% (FY21) to 30% (YTD FY26). Quick commerce is emerging as a structural growth driver. For RiteBite, distribution is sharp and targeted (top 10 cities, top outlets), meaning there is massive runway for penetration.</w:t>
      </w:r>
    </w:p>
    <w:p>
      <w:r>
        <w:rPr>
          <w:b/>
          <w:sz w:val="24"/>
        </w:rPr>
        <w:t>Innovation Pipeline &amp; Brand Extensions</w:t>
      </w:r>
    </w:p>
    <w:p>
      <w:r>
        <w:t>The company launched 12 new products in FY25 and continues to innovate: Glucon-D Activon RTD, Sugar Free Delight cookies, Nutralite Peanut Butter, Nutralite Professional (Cheesy Delight, Slim Mayonnaise), Complan Viemax (adult nutrition via doctor detailing), Everyuth Anti-Pollution Scrub, RiteBite Millet Wafer, Comfort Click gummies (adult and kids), and Pure Himalayan Shilajit Resin. Each innovation either expands the addressable market or brings in new consumers rather than cannibalizing existing products.</w:t>
      </w:r>
    </w:p>
    <w:p>
      <w:pPr>
        <w:pStyle w:val="Heading1"/>
      </w:pPr>
      <w:r>
        <w:t>6. Brand Portfolio &amp; Market Share Positions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2160"/>
          </w:tcPr>
          <w:p>
            <w:r>
              <w:rPr>
                <w:b/>
                <w:sz w:val="20"/>
              </w:rPr>
              <w:t>Brand</w:t>
            </w:r>
          </w:p>
        </w:tc>
        <w:tc>
          <w:tcPr>
            <w:tcW w:type="dxa" w:w="2160"/>
          </w:tcPr>
          <w:p>
            <w:r>
              <w:rPr>
                <w:b/>
                <w:sz w:val="20"/>
              </w:rPr>
              <w:t>Category</w:t>
            </w:r>
          </w:p>
        </w:tc>
        <w:tc>
          <w:tcPr>
            <w:tcW w:type="dxa" w:w="1872"/>
          </w:tcPr>
          <w:p>
            <w:r>
              <w:rPr>
                <w:b/>
                <w:sz w:val="20"/>
              </w:rPr>
              <w:t>Category Size (Rs. Cr)</w:t>
            </w:r>
          </w:p>
        </w:tc>
        <w:tc>
          <w:tcPr>
            <w:tcW w:type="dxa" w:w="1152"/>
          </w:tcPr>
          <w:p>
            <w:r>
              <w:rPr>
                <w:b/>
                <w:sz w:val="20"/>
              </w:rPr>
              <w:t>Market Rank</w:t>
            </w:r>
          </w:p>
        </w:tc>
        <w:tc>
          <w:tcPr>
            <w:tcW w:type="dxa" w:w="1440"/>
          </w:tcPr>
          <w:p>
            <w:r>
              <w:rPr>
                <w:b/>
                <w:sz w:val="20"/>
              </w:rPr>
              <w:t>Market Share %</w:t>
            </w:r>
          </w:p>
        </w:tc>
      </w:tr>
      <w:tr>
        <w:tc>
          <w:tcPr>
            <w:tcW w:type="dxa" w:w="2160"/>
          </w:tcPr>
          <w:p>
            <w:r>
              <w:rPr>
                <w:sz w:val="20"/>
              </w:rPr>
              <w:t>Glucon-D</w:t>
            </w:r>
          </w:p>
        </w:tc>
        <w:tc>
          <w:tcPr>
            <w:tcW w:type="dxa" w:w="2160"/>
          </w:tcPr>
          <w:p>
            <w:r>
              <w:rPr>
                <w:sz w:val="20"/>
              </w:rPr>
              <w:t>Glucose Powder</w:t>
            </w:r>
          </w:p>
        </w:tc>
        <w:tc>
          <w:tcPr>
            <w:tcW w:type="dxa" w:w="1872"/>
          </w:tcPr>
          <w:p>
            <w:r>
              <w:rPr>
                <w:sz w:val="20"/>
              </w:rPr>
              <w:t>~1,050</w:t>
            </w:r>
          </w:p>
        </w:tc>
        <w:tc>
          <w:tcPr>
            <w:tcW w:type="dxa" w:w="1152"/>
          </w:tcPr>
          <w:p>
            <w:r>
              <w:rPr>
                <w:sz w:val="20"/>
              </w:rPr>
              <w:t>#1</w:t>
            </w:r>
          </w:p>
        </w:tc>
        <w:tc>
          <w:tcPr>
            <w:tcW w:type="dxa" w:w="1440"/>
          </w:tcPr>
          <w:p>
            <w:r>
              <w:rPr>
                <w:sz w:val="20"/>
              </w:rPr>
              <w:t>59.0%</w:t>
            </w:r>
          </w:p>
        </w:tc>
      </w:tr>
      <w:tr>
        <w:tc>
          <w:tcPr>
            <w:tcW w:type="dxa" w:w="2160"/>
          </w:tcPr>
          <w:p>
            <w:r>
              <w:rPr>
                <w:sz w:val="20"/>
              </w:rPr>
              <w:t>Complan</w:t>
            </w:r>
          </w:p>
        </w:tc>
        <w:tc>
          <w:tcPr>
            <w:tcW w:type="dxa" w:w="2160"/>
          </w:tcPr>
          <w:p>
            <w:r>
              <w:rPr>
                <w:sz w:val="20"/>
              </w:rPr>
              <w:t>Nutrition Drink</w:t>
            </w:r>
          </w:p>
        </w:tc>
        <w:tc>
          <w:tcPr>
            <w:tcW w:type="dxa" w:w="1872"/>
          </w:tcPr>
          <w:p>
            <w:r>
              <w:rPr>
                <w:sz w:val="20"/>
              </w:rPr>
              <w:t>~6,700</w:t>
            </w:r>
          </w:p>
        </w:tc>
        <w:tc>
          <w:tcPr>
            <w:tcW w:type="dxa" w:w="1152"/>
          </w:tcPr>
          <w:p>
            <w:r>
              <w:rPr>
                <w:sz w:val="20"/>
              </w:rPr>
              <w:t>#4</w:t>
            </w:r>
          </w:p>
        </w:tc>
        <w:tc>
          <w:tcPr>
            <w:tcW w:type="dxa" w:w="1440"/>
          </w:tcPr>
          <w:p>
            <w:r>
              <w:rPr>
                <w:sz w:val="20"/>
              </w:rPr>
              <w:t>4.1%</w:t>
            </w:r>
          </w:p>
        </w:tc>
      </w:tr>
      <w:tr>
        <w:tc>
          <w:tcPr>
            <w:tcW w:type="dxa" w:w="2160"/>
          </w:tcPr>
          <w:p>
            <w:r>
              <w:rPr>
                <w:sz w:val="20"/>
              </w:rPr>
              <w:t>Sugar Free</w:t>
            </w:r>
          </w:p>
        </w:tc>
        <w:tc>
          <w:tcPr>
            <w:tcW w:type="dxa" w:w="2160"/>
          </w:tcPr>
          <w:p>
            <w:r>
              <w:rPr>
                <w:sz w:val="20"/>
              </w:rPr>
              <w:t>Sugar Substitute</w:t>
            </w:r>
          </w:p>
        </w:tc>
        <w:tc>
          <w:tcPr>
            <w:tcW w:type="dxa" w:w="1872"/>
          </w:tcPr>
          <w:p>
            <w:r>
              <w:rPr>
                <w:sz w:val="20"/>
              </w:rPr>
              <w:t>~350</w:t>
            </w:r>
          </w:p>
        </w:tc>
        <w:tc>
          <w:tcPr>
            <w:tcW w:type="dxa" w:w="1152"/>
          </w:tcPr>
          <w:p>
            <w:r>
              <w:rPr>
                <w:sz w:val="20"/>
              </w:rPr>
              <w:t>#1</w:t>
            </w:r>
          </w:p>
        </w:tc>
        <w:tc>
          <w:tcPr>
            <w:tcW w:type="dxa" w:w="1440"/>
          </w:tcPr>
          <w:p>
            <w:r>
              <w:rPr>
                <w:sz w:val="20"/>
              </w:rPr>
              <w:t>96.3%</w:t>
            </w:r>
          </w:p>
        </w:tc>
      </w:tr>
      <w:tr>
        <w:tc>
          <w:tcPr>
            <w:tcW w:type="dxa" w:w="2160"/>
          </w:tcPr>
          <w:p>
            <w:r>
              <w:rPr>
                <w:sz w:val="20"/>
              </w:rPr>
              <w:t>Nycil</w:t>
            </w:r>
          </w:p>
        </w:tc>
        <w:tc>
          <w:tcPr>
            <w:tcW w:type="dxa" w:w="2160"/>
          </w:tcPr>
          <w:p>
            <w:r>
              <w:rPr>
                <w:sz w:val="20"/>
              </w:rPr>
              <w:t>Prickly Heat Powder</w:t>
            </w:r>
          </w:p>
        </w:tc>
        <w:tc>
          <w:tcPr>
            <w:tcW w:type="dxa" w:w="1872"/>
          </w:tcPr>
          <w:p>
            <w:r>
              <w:rPr>
                <w:sz w:val="20"/>
              </w:rPr>
              <w:t>~850</w:t>
            </w:r>
          </w:p>
        </w:tc>
        <w:tc>
          <w:tcPr>
            <w:tcW w:type="dxa" w:w="1152"/>
          </w:tcPr>
          <w:p>
            <w:r>
              <w:rPr>
                <w:sz w:val="20"/>
              </w:rPr>
              <w:t>#1</w:t>
            </w:r>
          </w:p>
        </w:tc>
        <w:tc>
          <w:tcPr>
            <w:tcW w:type="dxa" w:w="1440"/>
          </w:tcPr>
          <w:p>
            <w:r>
              <w:rPr>
                <w:sz w:val="20"/>
              </w:rPr>
              <w:t>33.1%</w:t>
            </w:r>
          </w:p>
        </w:tc>
      </w:tr>
      <w:tr>
        <w:tc>
          <w:tcPr>
            <w:tcW w:type="dxa" w:w="2160"/>
          </w:tcPr>
          <w:p>
            <w:r>
              <w:rPr>
                <w:sz w:val="20"/>
              </w:rPr>
              <w:t>Everyuth</w:t>
            </w:r>
          </w:p>
        </w:tc>
        <w:tc>
          <w:tcPr>
            <w:tcW w:type="dxa" w:w="2160"/>
          </w:tcPr>
          <w:p>
            <w:r>
              <w:rPr>
                <w:sz w:val="20"/>
              </w:rPr>
              <w:t>Scrubs</w:t>
            </w:r>
          </w:p>
        </w:tc>
        <w:tc>
          <w:tcPr>
            <w:tcW w:type="dxa" w:w="1872"/>
          </w:tcPr>
          <w:p>
            <w:r>
              <w:rPr>
                <w:sz w:val="20"/>
              </w:rPr>
              <w:t>~390</w:t>
            </w:r>
          </w:p>
        </w:tc>
        <w:tc>
          <w:tcPr>
            <w:tcW w:type="dxa" w:w="1152"/>
          </w:tcPr>
          <w:p>
            <w:r>
              <w:rPr>
                <w:sz w:val="20"/>
              </w:rPr>
              <w:t>#1</w:t>
            </w:r>
          </w:p>
        </w:tc>
        <w:tc>
          <w:tcPr>
            <w:tcW w:type="dxa" w:w="1440"/>
          </w:tcPr>
          <w:p>
            <w:r>
              <w:rPr>
                <w:sz w:val="20"/>
              </w:rPr>
              <w:t>48.5%</w:t>
            </w:r>
          </w:p>
        </w:tc>
      </w:tr>
      <w:tr>
        <w:tc>
          <w:tcPr>
            <w:tcW w:type="dxa" w:w="2160"/>
          </w:tcPr>
          <w:p>
            <w:r>
              <w:rPr>
                <w:sz w:val="20"/>
              </w:rPr>
              <w:t>Everyuth</w:t>
            </w:r>
          </w:p>
        </w:tc>
        <w:tc>
          <w:tcPr>
            <w:tcW w:type="dxa" w:w="2160"/>
          </w:tcPr>
          <w:p>
            <w:r>
              <w:rPr>
                <w:sz w:val="20"/>
              </w:rPr>
              <w:t>Peel-off</w:t>
            </w:r>
          </w:p>
        </w:tc>
        <w:tc>
          <w:tcPr>
            <w:tcW w:type="dxa" w:w="1872"/>
          </w:tcPr>
          <w:p>
            <w:r>
              <w:rPr>
                <w:sz w:val="20"/>
              </w:rPr>
              <w:t>~165</w:t>
            </w:r>
          </w:p>
        </w:tc>
        <w:tc>
          <w:tcPr>
            <w:tcW w:type="dxa" w:w="1152"/>
          </w:tcPr>
          <w:p>
            <w:r>
              <w:rPr>
                <w:sz w:val="20"/>
              </w:rPr>
              <w:t>#1</w:t>
            </w:r>
          </w:p>
        </w:tc>
        <w:tc>
          <w:tcPr>
            <w:tcW w:type="dxa" w:w="1440"/>
          </w:tcPr>
          <w:p>
            <w:r>
              <w:rPr>
                <w:sz w:val="20"/>
              </w:rPr>
              <w:t>76.0%</w:t>
            </w:r>
          </w:p>
        </w:tc>
      </w:tr>
      <w:tr>
        <w:tc>
          <w:tcPr>
            <w:tcW w:type="dxa" w:w="2160"/>
          </w:tcPr>
          <w:p>
            <w:r>
              <w:rPr>
                <w:sz w:val="20"/>
              </w:rPr>
              <w:t>Everyuth</w:t>
            </w:r>
          </w:p>
        </w:tc>
        <w:tc>
          <w:tcPr>
            <w:tcW w:type="dxa" w:w="2160"/>
          </w:tcPr>
          <w:p>
            <w:r>
              <w:rPr>
                <w:sz w:val="20"/>
              </w:rPr>
              <w:t>Facial Cleansing</w:t>
            </w:r>
          </w:p>
        </w:tc>
        <w:tc>
          <w:tcPr>
            <w:tcW w:type="dxa" w:w="1872"/>
          </w:tcPr>
          <w:p>
            <w:r>
              <w:rPr>
                <w:sz w:val="20"/>
              </w:rPr>
              <w:t>~4,600</w:t>
            </w:r>
          </w:p>
        </w:tc>
        <w:tc>
          <w:tcPr>
            <w:tcW w:type="dxa" w:w="1152"/>
          </w:tcPr>
          <w:p>
            <w:r>
              <w:rPr>
                <w:sz w:val="20"/>
              </w:rPr>
              <w:t>#5</w:t>
            </w:r>
          </w:p>
        </w:tc>
        <w:tc>
          <w:tcPr>
            <w:tcW w:type="dxa" w:w="1440"/>
          </w:tcPr>
          <w:p>
            <w:r>
              <w:rPr>
                <w:sz w:val="20"/>
              </w:rPr>
              <w:t>7.9%</w:t>
            </w:r>
          </w:p>
        </w:tc>
      </w:tr>
      <w:tr>
        <w:tc>
          <w:tcPr>
            <w:tcW w:type="dxa" w:w="2160"/>
          </w:tcPr>
          <w:p>
            <w:r>
              <w:rPr>
                <w:sz w:val="20"/>
              </w:rPr>
              <w:t>Nutralite</w:t>
            </w:r>
          </w:p>
        </w:tc>
        <w:tc>
          <w:tcPr>
            <w:tcW w:type="dxa" w:w="2160"/>
          </w:tcPr>
          <w:p>
            <w:r>
              <w:rPr>
                <w:sz w:val="20"/>
              </w:rPr>
              <w:t>Fat Spread</w:t>
            </w:r>
          </w:p>
        </w:tc>
        <w:tc>
          <w:tcPr>
            <w:tcW w:type="dxa" w:w="1872"/>
          </w:tcPr>
          <w:p>
            <w:r>
              <w:rPr>
                <w:sz w:val="20"/>
              </w:rPr>
              <w:t>-</w:t>
            </w:r>
          </w:p>
        </w:tc>
        <w:tc>
          <w:tcPr>
            <w:tcW w:type="dxa" w:w="1152"/>
          </w:tcPr>
          <w:p>
            <w:r>
              <w:rPr>
                <w:sz w:val="20"/>
              </w:rPr>
              <w:t>#1</w:t>
            </w:r>
          </w:p>
        </w:tc>
        <w:tc>
          <w:tcPr>
            <w:tcW w:type="dxa" w:w="1440"/>
          </w:tcPr>
          <w:p>
            <w:r>
              <w:rPr>
                <w:sz w:val="20"/>
              </w:rPr>
              <w:t>Leader</w:t>
            </w:r>
          </w:p>
        </w:tc>
      </w:tr>
      <w:tr>
        <w:tc>
          <w:tcPr>
            <w:tcW w:type="dxa" w:w="2160"/>
          </w:tcPr>
          <w:p>
            <w:r>
              <w:rPr>
                <w:sz w:val="20"/>
              </w:rPr>
              <w:t>RiteBite Max Protein</w:t>
            </w:r>
          </w:p>
        </w:tc>
        <w:tc>
          <w:tcPr>
            <w:tcW w:type="dxa" w:w="2160"/>
          </w:tcPr>
          <w:p>
            <w:r>
              <w:rPr>
                <w:sz w:val="20"/>
              </w:rPr>
              <w:t>Nutrition &amp; Protein Bar</w:t>
            </w:r>
          </w:p>
        </w:tc>
        <w:tc>
          <w:tcPr>
            <w:tcW w:type="dxa" w:w="1872"/>
          </w:tcPr>
          <w:p>
            <w:r>
              <w:rPr>
                <w:sz w:val="20"/>
              </w:rPr>
              <w:t>-</w:t>
            </w:r>
          </w:p>
        </w:tc>
        <w:tc>
          <w:tcPr>
            <w:tcW w:type="dxa" w:w="1152"/>
          </w:tcPr>
          <w:p>
            <w:r>
              <w:rPr>
                <w:sz w:val="20"/>
              </w:rPr>
              <w:t>#1</w:t>
            </w:r>
          </w:p>
        </w:tc>
        <w:tc>
          <w:tcPr>
            <w:tcW w:type="dxa" w:w="1440"/>
          </w:tcPr>
          <w:p>
            <w:r>
              <w:rPr>
                <w:sz w:val="20"/>
              </w:rPr>
              <w:t>Leader</w:t>
            </w:r>
          </w:p>
        </w:tc>
      </w:tr>
      <w:tr>
        <w:tc>
          <w:tcPr>
            <w:tcW w:type="dxa" w:w="2160"/>
          </w:tcPr>
          <w:p>
            <w:r>
              <w:rPr>
                <w:sz w:val="20"/>
              </w:rPr>
              <w:t>RiteBite Max Protein</w:t>
            </w:r>
          </w:p>
        </w:tc>
        <w:tc>
          <w:tcPr>
            <w:tcW w:type="dxa" w:w="2160"/>
          </w:tcPr>
          <w:p>
            <w:r>
              <w:rPr>
                <w:sz w:val="20"/>
              </w:rPr>
              <w:t>Protein Cookies &amp; Chips</w:t>
            </w:r>
          </w:p>
        </w:tc>
        <w:tc>
          <w:tcPr>
            <w:tcW w:type="dxa" w:w="1872"/>
          </w:tcPr>
          <w:p>
            <w:r>
              <w:rPr>
                <w:sz w:val="20"/>
              </w:rPr>
              <w:t>-</w:t>
            </w:r>
          </w:p>
        </w:tc>
        <w:tc>
          <w:tcPr>
            <w:tcW w:type="dxa" w:w="1152"/>
          </w:tcPr>
          <w:p>
            <w:r>
              <w:rPr>
                <w:sz w:val="20"/>
              </w:rPr>
              <w:t>#1</w:t>
            </w:r>
          </w:p>
        </w:tc>
        <w:tc>
          <w:tcPr>
            <w:tcW w:type="dxa" w:w="1440"/>
          </w:tcPr>
          <w:p>
            <w:r>
              <w:rPr>
                <w:sz w:val="20"/>
              </w:rPr>
              <w:t>Leader</w:t>
            </w:r>
          </w:p>
        </w:tc>
      </w:tr>
    </w:tbl>
    <w:p/>
    <w:p>
      <w:r>
        <w:t>Source: MAT December 2025 report as per Nielsen and IQVIA. Note that Nielsen coverage does not include e-commerce, which now constitutes 15-20% of sales for some brands like Complan, making reported market shares understated.</w:t>
      </w:r>
    </w:p>
    <w:p>
      <w:pPr>
        <w:pStyle w:val="Heading1"/>
      </w:pPr>
      <w:r>
        <w:t>7. Valuation Context &amp; Summary View</w:t>
      </w:r>
    </w:p>
    <w:p>
      <w:r>
        <w:t>At the current market cap of approximately Rs.12,600 Cr and FY25 revenue of Rs.2,709 Cr, the stock trades at roughly 4.6x FY25 sales. On FY25 PAT of Rs.347 Cr and EPS of Rs.54.52, the trailing P/E is around 73x. However, this trailing multiple is misleading because FY26 is a transition year with depressed earnings due to acquisition-related costs.</w:t>
      </w:r>
    </w:p>
    <w:p>
      <w:r>
        <w:t>The more relevant way to value this business is on FY28E numbers, when the full benefit of Comfort Click and RiteBite integration plays out and the base business reaches its 16-18% EBITDA margin target. If the company achieves Rs.4,700-5,000 Cr revenue with 14-16% EBITDA margins (Rs.660-800 Cr EBITDA) and normalized PAT margins of 8-10% (Rs.375-500 Cr PAT), the stock would be trading at 25-34x FY28E earnings - reasonable for a consumer wellness company with 17-20% growth visibility.</w:t>
      </w:r>
    </w:p>
    <w:p>
      <w:pPr>
        <w:pStyle w:val="Heading2"/>
      </w:pPr>
      <w:r>
        <w:t>Summary Thesis</w:t>
      </w:r>
    </w:p>
    <w:p>
      <w:r>
        <w:t>Zydus Wellness is at an inflection point. The company has made three transformative acquisitions in quick succession (Heinz India, RiteBite, Comfort Click) that have fundamentally changed its revenue mix, margin profile, geographic reach, and growth trajectory. The near-term financials look ugly (negative PAT, heavy amortization, interest costs), but the underlying business momentum is strong: double-digit volume growth in the base business ex-seasonal brands, RiteBite doubling projections, Comfort Click in line with expectations, gross margins structurally higher, and distribution expanding.</w:t>
      </w:r>
    </w:p>
    <w:p>
      <w:r>
        <w:t>The key risk is execution across three very different business models simultaneously (Indian FMCG, Indian protein snacking, European digital VMS). But if management delivers on even 70-80% of their stated targets, the stock at current levels offers meaningful upside over a 2-3 year horizon as earnings normalize and the market re-rates the business from a domestic seasonal FMCG company to a global wellness platform.</w:t>
      </w:r>
    </w:p>
    <w:p/>
    <w:p>
      <w:r>
        <w:rPr>
          <w:i/>
          <w:color w:val="999999"/>
          <w:sz w:val="16"/>
        </w:rPr>
        <w:t>Disclaimer: This analysis is for informational purposes only and does not constitute investment advice. Always do your own research before making investment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4F72"/>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5B6"/>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86C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