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CA178C" w14:textId="77777777" w:rsidR="009D549A" w:rsidRPr="009D549A" w:rsidRDefault="009D549A" w:rsidP="009D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is a comprehensive account of the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Suryoday Small Finance Bank Q1 FY27 earnings conference call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, as documented in the provided source.</w:t>
      </w:r>
    </w:p>
    <w:p w14:paraId="14F650E5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Call Introduction and Management Participants</w:t>
      </w:r>
    </w:p>
    <w:p w14:paraId="488A1E68" w14:textId="77777777" w:rsidR="009D549A" w:rsidRPr="009D549A" w:rsidRDefault="009D549A" w:rsidP="009D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The call was hosted by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Asian Market Securities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on behalf of Suryoday Small Finance Bank. The management team present included:</w:t>
      </w:r>
    </w:p>
    <w:p w14:paraId="75BD64FA" w14:textId="77777777" w:rsidR="009D549A" w:rsidRPr="009D549A" w:rsidRDefault="009D549A" w:rsidP="009D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Baskar Babu Ramachandran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: Managing Director and CEO.</w:t>
      </w:r>
    </w:p>
    <w:p w14:paraId="7DD7CBEB" w14:textId="77777777" w:rsidR="009D549A" w:rsidRPr="009D549A" w:rsidRDefault="009D549A" w:rsidP="009D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Keshav Bhootri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: Chief Financial Officer.</w:t>
      </w:r>
    </w:p>
    <w:p w14:paraId="5AB6F560" w14:textId="77777777" w:rsidR="009D549A" w:rsidRPr="009D549A" w:rsidRDefault="009D549A" w:rsidP="009D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Himanshu Vikas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: Head of Investor Relations.</w:t>
      </w:r>
    </w:p>
    <w:p w14:paraId="37F03938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Management Opening Remarks</w:t>
      </w:r>
    </w:p>
    <w:p w14:paraId="15CFEEEA" w14:textId="77777777" w:rsidR="009D549A" w:rsidRPr="009D549A" w:rsidRDefault="009D549A" w:rsidP="009D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and Strategic Overview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reported that Q1 FY27 was a period of continued progress and stabilization. Key strategic shifts include:</w:t>
      </w:r>
    </w:p>
    <w:p w14:paraId="650D4B1E" w14:textId="77777777" w:rsidR="009D549A" w:rsidRPr="009D549A" w:rsidRDefault="009D549A" w:rsidP="009D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Individual Loans: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The bank is moving away from the traditional Joint Liability Group (JLG) model toward individual loans to foster deeper customer engagement. Currently, individual loans contribute approximately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of monthly originations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079C02" w14:textId="77777777" w:rsidR="009D549A" w:rsidRPr="009D549A" w:rsidRDefault="009D549A" w:rsidP="009D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Quality and CGFMU: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The bank has strengthened its resilience using the Credit Guarantee Fund for Micro Units (CGFMU) framework. They received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₹387 crores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in CGFMU claims during the quarter.</w:t>
      </w:r>
    </w:p>
    <w:p w14:paraId="20F8D7F6" w14:textId="77777777" w:rsidR="009D549A" w:rsidRPr="009D549A" w:rsidRDefault="009D549A" w:rsidP="009D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Secured Lending: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There is a continued focus on calibrated growth in secured retail assets, specifically in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vehicles (CV)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mortgages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1CD0A" w14:textId="77777777" w:rsidR="009D549A" w:rsidRPr="009D549A" w:rsidRDefault="009D549A" w:rsidP="009D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Pillar: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Digital acquisition remains a core strategy. The bank has approximately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million digital customers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with good credit records. Products like Credit Line on UPI (CLOU) and digital MSME loans are key drivers.</w:t>
      </w:r>
    </w:p>
    <w:p w14:paraId="5FA3B5D9" w14:textId="77777777" w:rsidR="009D549A" w:rsidRPr="009D549A" w:rsidRDefault="009D549A" w:rsidP="009D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Highlights for Q1 FY27</w:t>
      </w:r>
    </w:p>
    <w:p w14:paraId="26842F09" w14:textId="77777777" w:rsidR="009D549A" w:rsidRPr="009D549A" w:rsidRDefault="009D549A" w:rsidP="009D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Advances: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Stood at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₹14,376 crores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, representing a 32.5% year-on-year (YoY) growth.</w:t>
      </w:r>
    </w:p>
    <w:p w14:paraId="380D20A5" w14:textId="77777777" w:rsidR="009D549A" w:rsidRPr="009D549A" w:rsidRDefault="009D549A" w:rsidP="009D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Deposits: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Reached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₹14,634 crores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, a 29.4% YoY increase. Retail deposits make up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87.3%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of the total.</w:t>
      </w:r>
    </w:p>
    <w:p w14:paraId="6AAA3281" w14:textId="77777777" w:rsidR="009D549A" w:rsidRPr="009D549A" w:rsidRDefault="009D549A" w:rsidP="009D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CASA Ratio: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Reported at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07387" w14:textId="77777777" w:rsidR="009D549A" w:rsidRPr="009D549A" w:rsidRDefault="009D549A" w:rsidP="009D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Quality: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Gross NPA (GNPA) was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and Net NPA (NNPA) was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. When adjusted for CGFMU receivables, the GNPA and NNPA stand at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2.9% and 0.3%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, respectively.</w:t>
      </w:r>
    </w:p>
    <w:p w14:paraId="753CD4C3" w14:textId="77777777" w:rsidR="009D549A" w:rsidRPr="009D549A" w:rsidRDefault="009D549A" w:rsidP="009D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Performance: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Deposits sourced through digital channels reached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₹2,222 crores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B2B0F" w14:textId="77777777" w:rsidR="009D549A" w:rsidRPr="009D549A" w:rsidRDefault="00C960D8" w:rsidP="009D54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5D1B45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6FBFC8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and Answer Session Highlights</w:t>
      </w:r>
    </w:p>
    <w:p w14:paraId="461D339F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Execution Priorities and Risk Management</w:t>
      </w:r>
    </w:p>
    <w:p w14:paraId="69523E0A" w14:textId="77777777" w:rsidR="009D549A" w:rsidRPr="009D549A" w:rsidRDefault="009D549A" w:rsidP="009D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Mr. Ramachandran highlighted that the top priority is strengthening the inclusive finance portfolio through individual loans. While the microfinance cycle has turned, the bank remains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cautious and prudent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on growth to avoid aggressive risks. Competition is expected to be intense, and the bank intends to use its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play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customer experience.</w:t>
      </w:r>
    </w:p>
    <w:p w14:paraId="1322F953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Financial Guidance and ROA</w:t>
      </w:r>
    </w:p>
    <w:p w14:paraId="3FC3AA03" w14:textId="77777777" w:rsidR="009D549A" w:rsidRPr="009D549A" w:rsidRDefault="009D549A" w:rsidP="009D5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on Assets (ROA):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maintained its guidance for an annual ROA of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1.3% to 1.4%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 While Q1 saw an ROA of 1.6%, management noted this included one-off items.</w:t>
      </w:r>
    </w:p>
    <w:p w14:paraId="505E0C28" w14:textId="77777777" w:rsidR="009D549A" w:rsidRPr="009D549A" w:rsidRDefault="009D549A" w:rsidP="009D5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Cost: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Guided to be between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 and 1%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for the full year.</w:t>
      </w:r>
    </w:p>
    <w:p w14:paraId="430536EB" w14:textId="77777777" w:rsidR="009D549A" w:rsidRPr="009D549A" w:rsidRDefault="009D549A" w:rsidP="009D5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Income and PSL: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The quarter saw high "other income" due to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₹46 crores from Priority Sector Lending (PSL) certificates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 Future quarters are expected to see PSL income normalize to around ₹15–20 crores.</w:t>
      </w:r>
    </w:p>
    <w:p w14:paraId="3A18ADCA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Cost of Funds and Yields</w:t>
      </w:r>
    </w:p>
    <w:p w14:paraId="5FCFDEBF" w14:textId="77777777" w:rsidR="009D549A" w:rsidRPr="009D549A" w:rsidRDefault="009D549A" w:rsidP="009D5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of Funds: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expects the cost of funds to stay around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for the remainder of the year. Savings account (SA) costs were pulled down to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, while fixed deposit (FD) costs are approximately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A1205A" w14:textId="77777777" w:rsidR="009D549A" w:rsidRPr="009D549A" w:rsidRDefault="009D549A" w:rsidP="009D5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Yields: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Stabilized yields on advances are expected to be in the range of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17.2% to 17.5%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62E3CD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Digital Business Scaling (CLOU)</w:t>
      </w:r>
    </w:p>
    <w:p w14:paraId="10CA17C7" w14:textId="77777777" w:rsidR="009D549A" w:rsidRPr="009D549A" w:rsidRDefault="009D549A" w:rsidP="009D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Line on UPI (CLOU)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business has seen exponential growth, with convenience fee income reaching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₹18 crores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this quarter against ₹13 crores in related expenses. The bank currently has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lakh active users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and aims to double this by the end of the financial year.</w:t>
      </w:r>
    </w:p>
    <w:p w14:paraId="33FEDAC7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Capital Planning and Branch Expansion</w:t>
      </w:r>
    </w:p>
    <w:p w14:paraId="531BC195" w14:textId="77777777" w:rsidR="009D549A" w:rsidRPr="009D549A" w:rsidRDefault="009D549A" w:rsidP="009D5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Adequacy: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Currently at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. The bank is evaluating raising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capital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this quarter and is considering the right timing for a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raise.</w:t>
      </w:r>
    </w:p>
    <w:p w14:paraId="6ADE614B" w14:textId="77777777" w:rsidR="009D549A" w:rsidRPr="009D549A" w:rsidRDefault="009D549A" w:rsidP="009D5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Growth: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The bank plans to add approximately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branches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in the coming quarters, primarily focusing on inclusive finance and commercial vehicles.</w:t>
      </w:r>
    </w:p>
    <w:p w14:paraId="70477739" w14:textId="77777777" w:rsidR="009D549A" w:rsidRPr="009D549A" w:rsidRDefault="009D549A" w:rsidP="009D5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Commercial Vehicle (CV) Portfolio</w:t>
      </w:r>
    </w:p>
    <w:p w14:paraId="00B5C504" w14:textId="77777777" w:rsidR="009D549A" w:rsidRPr="009D549A" w:rsidRDefault="009D549A" w:rsidP="009D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Management addressed elevated delinquency trends in the CV portfolio (11.5% PAR), attributing it to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 price increases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D54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load availability</w:t>
      </w:r>
      <w:r w:rsidRPr="009D549A">
        <w:rPr>
          <w:rFonts w:ascii="Times New Roman" w:eastAsia="Times New Roman" w:hAnsi="Times New Roman" w:cs="Times New Roman"/>
          <w:kern w:val="0"/>
          <w14:ligatures w14:val="none"/>
        </w:rPr>
        <w:t xml:space="preserve"> due to Middle East tensions and monsoon impacts. However, they noted that their portfolio continues to outperform the broader market in terms of credit quality.</w:t>
      </w:r>
    </w:p>
    <w:p w14:paraId="7CEB7E0A" w14:textId="77777777" w:rsidR="009D549A" w:rsidRDefault="009D549A"/>
    <w:sectPr w:rsidR="009D5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100E3"/>
    <w:multiLevelType w:val="multilevel"/>
    <w:tmpl w:val="7C8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25740"/>
    <w:multiLevelType w:val="multilevel"/>
    <w:tmpl w:val="E0D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725E5"/>
    <w:multiLevelType w:val="multilevel"/>
    <w:tmpl w:val="E4DE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208A0"/>
    <w:multiLevelType w:val="multilevel"/>
    <w:tmpl w:val="49D4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47FEC"/>
    <w:multiLevelType w:val="multilevel"/>
    <w:tmpl w:val="81B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A65A4"/>
    <w:multiLevelType w:val="multilevel"/>
    <w:tmpl w:val="18E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338361">
    <w:abstractNumId w:val="4"/>
  </w:num>
  <w:num w:numId="2" w16cid:durableId="574243886">
    <w:abstractNumId w:val="2"/>
  </w:num>
  <w:num w:numId="3" w16cid:durableId="149560482">
    <w:abstractNumId w:val="3"/>
  </w:num>
  <w:num w:numId="4" w16cid:durableId="1238437801">
    <w:abstractNumId w:val="1"/>
  </w:num>
  <w:num w:numId="5" w16cid:durableId="1072391948">
    <w:abstractNumId w:val="5"/>
  </w:num>
  <w:num w:numId="6" w16cid:durableId="14632351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9A"/>
    <w:rsid w:val="009D549A"/>
    <w:rsid w:val="00C960D8"/>
    <w:rsid w:val="00F8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CA284A"/>
  <w15:chartTrackingRefBased/>
  <w15:docId w15:val="{DC10E2AC-185C-4749-BD81-9548E891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54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Virmani(UST,IN)</dc:creator>
  <cp:keywords/>
  <dc:description/>
  <cp:lastModifiedBy>Rakshit Virmani(UST,IN)</cp:lastModifiedBy>
  <cp:revision>1</cp:revision>
  <dcterms:created xsi:type="dcterms:W3CDTF">2026-07-25T06:29:00Z</dcterms:created>
  <dcterms:modified xsi:type="dcterms:W3CDTF">2026-07-25T06:32:00Z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2026-07-25T06:32:04Z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3d9401fb-1990-4bac-8f8e-ccfd17927bd1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50, 3, 0, 1</vt:lpwstr>
  </property>
</Properties>
</file>