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F4E79"/>
          <w:sz w:val="52"/>
          <w:szCs w:val="52"/>
        </w:rPr>
        <w:t xml:space="preserve">NATCO PHARMA LIMITED</w:t>
      </w:r>
    </w:p>
    <w:p>
      <w:pPr>
        <w:spacing w:after="100"/>
        <w:jc w:val="center"/>
      </w:pPr>
      <w:r>
        <w:rPr>
          <w:rFonts w:ascii="Arial" w:cs="Arial" w:eastAsia="Arial" w:hAnsi="Arial"/>
          <w:color w:val="4472C4"/>
          <w:sz w:val="32"/>
          <w:szCs w:val="32"/>
        </w:rPr>
        <w:t xml:space="preserve">Comprehensive Equity Research Analysis</w:t>
      </w:r>
    </w:p>
    <w:p>
      <w:pPr>
        <w:spacing w:after="100"/>
        <w:jc w:val="center"/>
      </w:pPr>
      <w:r>
        <w:rPr>
          <w:rFonts w:ascii="Arial" w:cs="Arial" w:eastAsia="Arial" w:hAnsi="Arial"/>
          <w:color w:val="666666"/>
          <w:sz w:val="24"/>
          <w:szCs w:val="24"/>
        </w:rPr>
        <w:t xml:space="preserve">BSE: 524816 | NSE: NATCOPHARM</w:t>
      </w:r>
    </w:p>
    <w:p>
      <w:pPr>
        <w:pBdr>
          <w:bottom w:val="single" w:color="1F4E79" w:sz="6" w:space="1"/>
        </w:pBdr>
        <w:spacing w:after="600"/>
        <w:jc w:val="center"/>
      </w:pPr>
      <w:r>
        <w:rPr>
          <w:rFonts w:ascii="Arial" w:cs="Arial" w:eastAsia="Arial" w:hAnsi="Arial"/>
          <w:color w:val="666666"/>
          <w:sz w:val="24"/>
          <w:szCs w:val="24"/>
        </w:rPr>
        <w:t xml:space="preserve">March 2026</w:t>
      </w:r>
    </w:p>
    <w:p>
      <w:pPr>
        <w:spacing w:before="400" w:after="100"/>
        <w:jc w:val="center"/>
      </w:pPr>
      <w:r>
        <w:rPr>
          <w:rFonts w:ascii="Arial" w:cs="Arial" w:eastAsia="Arial" w:hAnsi="Arial"/>
          <w:i/>
          <w:iCs/>
          <w:color w:val="888888"/>
          <w:sz w:val="20"/>
          <w:szCs w:val="20"/>
        </w:rPr>
        <w:t xml:space="preserve">Based on: Q1, Q2, Q3 FY26 Earnings Calls &amp; Adcock Ingram Acquisition Call</w:t>
      </w:r>
    </w:p>
    <w:p>
      <w:r>
        <w:br w:type="page"/>
      </w:r>
    </w:p>
    <w:p>
      <w:pPr>
        <w:pStyle w:val="Heading1"/>
        <w:spacing w:before="360" w:after="200"/>
      </w:pPr>
      <w:r>
        <w:rPr>
          <w:rFonts w:ascii="Arial" w:cs="Arial" w:eastAsia="Arial" w:hAnsi="Arial"/>
        </w:rPr>
        <w:t xml:space="preserve">1. Executive Summary</w:t>
      </w:r>
    </w:p>
    <w:p>
      <w:pPr>
        <w:spacing w:after="160" w:line="276"/>
      </w:pPr>
      <w:r>
        <w:rPr>
          <w:rFonts w:ascii="Arial" w:cs="Arial" w:eastAsia="Arial" w:hAnsi="Arial"/>
          <w:color w:val="333333"/>
          <w:sz w:val="22"/>
          <w:szCs w:val="22"/>
        </w:rPr>
        <w:t xml:space="preserve">Natco Pharma is a Hyderabad-based complex generics pharmaceutical company undergoing a significant strategic transformation. The company is transitioning from heavy dependence on a single blockbuster product (Revlimid/Lenalidomide) toward building a diversified, multi-geography base business complemented by strategic M&amp;A, a deep Para IV pipeline, and early-stage bets in cell &amp; gene therapy.</w:t>
      </w:r>
    </w:p>
    <w:p>
      <w:pPr>
        <w:spacing w:after="160" w:line="276"/>
      </w:pPr>
      <w:r>
        <w:rPr>
          <w:rFonts w:ascii="Arial" w:cs="Arial" w:eastAsia="Arial" w:hAnsi="Arial"/>
          <w:color w:val="333333"/>
          <w:sz w:val="22"/>
          <w:szCs w:val="22"/>
        </w:rPr>
        <w:t xml:space="preserve">FY26 represents a transitional year where the Revlimid tailwind (which drove H1 FY26 PAT of INR 998 crores) fades dramatically in H2, with base quarterly PAT normalizing to INR 150-160 crores. Management has guided FY26 PAT at INR 1,280-1,300 crores. The real story, however, is the setup for FY27 onwards, driven by semaglutide (India + US), new US generic launches, Adcock Ingram consolidation, and a robust Para IV pipeline stretching to 2035.</w:t>
      </w:r>
    </w:p>
    <w:p>
      <w:pPr>
        <w:pStyle w:val="Heading2"/>
        <w:spacing w:before="280" w:after="160"/>
      </w:pPr>
      <w:r>
        <w:rPr>
          <w:rFonts w:ascii="Arial" w:cs="Arial" w:eastAsia="Arial" w:hAnsi="Arial"/>
        </w:rPr>
        <w:t xml:space="preserve">Key Financial Snapshot - FY26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100"/>
        <w:gridCol w:w="2100"/>
        <w:gridCol w:w="2060"/>
      </w:tblGrid>
      <w:tr>
        <w:tc>
          <w:tcPr>
            <w:tcW w:type="dxa" w:w="3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 FY26</w:t>
            </w:r>
          </w:p>
        </w:tc>
        <w:tc>
          <w:tcPr>
            <w:tcW w:type="dxa" w:w="21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Q3 FY26</w:t>
            </w:r>
          </w:p>
        </w:tc>
        <w:tc>
          <w:tcPr>
            <w:tcW w:type="dxa" w:w="2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FY26E Guidance</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Revenue (INR Cr)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2,854</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4,200-4,300</w:t>
            </w:r>
          </w:p>
        </w:tc>
      </w:tr>
      <w:tr>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EBITDA Margin</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~46%</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30.7%</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 blended</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PAT (INR Cr)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998</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151</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1,280-1,300</w:t>
            </w:r>
          </w:p>
        </w:tc>
      </w:tr>
      <w:tr>
        <w:tc>
          <w:tcPr>
            <w:tcW w:type="dxa" w:w="3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R&amp;D (% of Sales)</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21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r>
      <w:tr>
        <w:tc>
          <w:tcPr>
            <w:tcW w:type="dxa" w:w="3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Net Cash (INR Cr)</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w:t>
            </w:r>
          </w:p>
        </w:tc>
        <w:tc>
          <w:tcPr>
            <w:tcW w:type="dxa" w:w="21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~2,500</w:t>
            </w:r>
          </w:p>
        </w:tc>
      </w:tr>
    </w:tbl>
    <w:p>
      <w:r>
        <w:br w:type="page"/>
      </w:r>
    </w:p>
    <w:p>
      <w:pPr>
        <w:pStyle w:val="Heading1"/>
        <w:spacing w:before="360" w:after="200"/>
      </w:pPr>
      <w:r>
        <w:rPr>
          <w:rFonts w:ascii="Arial" w:cs="Arial" w:eastAsia="Arial" w:hAnsi="Arial"/>
        </w:rPr>
        <w:t xml:space="preserve">2. Business Model Deep Dive</w:t>
      </w:r>
    </w:p>
    <w:p>
      <w:pPr>
        <w:pStyle w:val="Heading2"/>
        <w:spacing w:before="280" w:after="160"/>
      </w:pPr>
      <w:r>
        <w:rPr>
          <w:rFonts w:ascii="Arial" w:cs="Arial" w:eastAsia="Arial" w:hAnsi="Arial"/>
        </w:rPr>
        <w:t xml:space="preserve">2.1 Revenue Segments</w:t>
      </w:r>
    </w:p>
    <w:p>
      <w:pPr>
        <w:spacing w:after="160" w:line="276"/>
      </w:pPr>
      <w:r>
        <w:rPr>
          <w:rFonts w:ascii="Arial" w:cs="Arial" w:eastAsia="Arial" w:hAnsi="Arial"/>
          <w:color w:val="333333"/>
          <w:sz w:val="22"/>
          <w:szCs w:val="22"/>
        </w:rPr>
        <w:t xml:space="preserve">Natco operates across four primary business segments, with export formulations being the dominant revenue driver, particularly through the US market.</w:t>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1500"/>
        <w:gridCol w:w="2160"/>
      </w:tblGrid>
      <w:tr>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Segment</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Q1 FY26</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Q2 FY26</w:t>
            </w:r>
          </w:p>
        </w:tc>
        <w:tc>
          <w:tcPr>
            <w:tcW w:type="dxa" w:w="15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Q3 FY26</w:t>
            </w:r>
          </w:p>
        </w:tc>
        <w:tc>
          <w:tcPr>
            <w:tcW w:type="dxa" w:w="21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Nature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Export Formulations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1,127 Cr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1,147 Cr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~520 Cr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US generics, ROW (Brazil, Canada, ME)</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Domestic Formulations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107 Cr</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105 Cr</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~115 Cr</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India branded generics, oncology focus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API (Active Pharma Ingredients)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53 Cr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54 Cr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 Cr</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Backward integrated, supply to formulations</w:t>
            </w:r>
          </w:p>
        </w:tc>
      </w:tr>
      <w:tr>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Crop Health Sciences</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 Cr</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52 Cr</w:t>
            </w:r>
          </w:p>
        </w:tc>
        <w:tc>
          <w:tcPr>
            <w:tcW w:type="dxa" w:w="15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 Cr</w:t>
            </w:r>
          </w:p>
        </w:tc>
        <w:tc>
          <w:tcPr>
            <w:tcW w:type="dxa" w:w="21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Agrochemicals, CTPR product, near breakeven</w:t>
            </w:r>
          </w:p>
        </w:tc>
      </w:tr>
    </w:tbl>
    <w:p>
      <w:pPr>
        <w:pStyle w:val="Heading2"/>
        <w:spacing w:before="280" w:after="160"/>
      </w:pPr>
      <w:r>
        <w:rPr>
          <w:rFonts w:ascii="Arial" w:cs="Arial" w:eastAsia="Arial" w:hAnsi="Arial"/>
        </w:rPr>
        <w:t xml:space="preserve">2.2 The US Generics Engine</w:t>
      </w:r>
    </w:p>
    <w:p>
      <w:pPr>
        <w:spacing w:after="160" w:line="276"/>
      </w:pPr>
      <w:r>
        <w:rPr>
          <w:rFonts w:ascii="Arial" w:cs="Arial" w:eastAsia="Arial" w:hAnsi="Arial"/>
          <w:color w:val="333333"/>
          <w:sz w:val="22"/>
          <w:szCs w:val="22"/>
        </w:rPr>
        <w:t xml:space="preserve">Natco's core competitive advantage lies in its ability to file complex Para IV patent challenges against branded drugs. The company identifies off-patent or vulnerable-patent products, files ANDAs with paragraph IV certifications, litigates or settles with innovators, and secures First-to-File (FTF) or early-entry generic positions. This strategy has delivered outsized returns historically (Revlimid being the poster child) and the pipeline extends through 2035 with a mix of sole and shared FTFs.</w:t>
      </w:r>
    </w:p>
    <w:p>
      <w:pPr>
        <w:pStyle w:val="ListParagraph"/>
        <w:numPr>
          <w:ilvl w:val="0"/>
          <w:numId w:val="2"/>
        </w:numPr>
        <w:spacing w:after="80" w:line="276"/>
      </w:pPr>
      <w:r>
        <w:rPr>
          <w:rFonts w:ascii="Arial" w:cs="Arial" w:eastAsia="Arial" w:hAnsi="Arial"/>
          <w:b/>
          <w:bCs/>
          <w:color w:val="333333"/>
          <w:sz w:val="22"/>
          <w:szCs w:val="22"/>
        </w:rPr>
        <w:t xml:space="preserve">Key USP: </w:t>
      </w:r>
      <w:r>
        <w:rPr>
          <w:rFonts w:ascii="Arial" w:cs="Arial" w:eastAsia="Arial" w:hAnsi="Arial"/>
          <w:color w:val="333333"/>
          <w:sz w:val="22"/>
          <w:szCs w:val="22"/>
        </w:rPr>
        <w:t xml:space="preserve">Deep expertise in patent litigation and complex generic formulation development</w:t>
      </w:r>
    </w:p>
    <w:p>
      <w:pPr>
        <w:pStyle w:val="ListParagraph"/>
        <w:numPr>
          <w:ilvl w:val="0"/>
          <w:numId w:val="2"/>
        </w:numPr>
        <w:spacing w:after="80" w:line="276"/>
      </w:pPr>
      <w:r>
        <w:rPr>
          <w:rFonts w:ascii="Arial" w:cs="Arial" w:eastAsia="Arial" w:hAnsi="Arial"/>
          <w:b/>
          <w:bCs/>
          <w:color w:val="333333"/>
          <w:sz w:val="22"/>
          <w:szCs w:val="22"/>
        </w:rPr>
        <w:t xml:space="preserve">Revlimid Legacy: </w:t>
      </w:r>
      <w:r>
        <w:rPr>
          <w:rFonts w:ascii="Arial" w:cs="Arial" w:eastAsia="Arial" w:hAnsi="Arial"/>
          <w:color w:val="333333"/>
          <w:sz w:val="22"/>
          <w:szCs w:val="22"/>
        </w:rPr>
        <w:t xml:space="preserve">Single product contributed ~INR 2,000+ crores PAT over its generic lifecycle; now tapering off with intense competition in H2 FY26</w:t>
      </w:r>
    </w:p>
    <w:p>
      <w:pPr>
        <w:pStyle w:val="ListParagraph"/>
        <w:numPr>
          <w:ilvl w:val="0"/>
          <w:numId w:val="2"/>
        </w:numPr>
        <w:spacing w:after="80" w:line="276"/>
      </w:pPr>
      <w:r>
        <w:rPr>
          <w:rFonts w:ascii="Arial" w:cs="Arial" w:eastAsia="Arial" w:hAnsi="Arial"/>
          <w:b/>
          <w:bCs/>
          <w:color w:val="333333"/>
          <w:sz w:val="22"/>
          <w:szCs w:val="22"/>
        </w:rPr>
        <w:t xml:space="preserve">Pipeline Depth: </w:t>
      </w:r>
      <w:r>
        <w:rPr>
          <w:rFonts w:ascii="Arial" w:cs="Arial" w:eastAsia="Arial" w:hAnsi="Arial"/>
          <w:color w:val="333333"/>
          <w:sz w:val="22"/>
          <w:szCs w:val="22"/>
        </w:rPr>
        <w:t xml:space="preserve">Multiple Para IV products lined up from FY27 to FY35, including high-value oncology and specialty generics</w:t>
      </w:r>
    </w:p>
    <w:p>
      <w:pPr>
        <w:pStyle w:val="ListParagraph"/>
        <w:numPr>
          <w:ilvl w:val="0"/>
          <w:numId w:val="2"/>
        </w:numPr>
        <w:spacing w:after="80" w:line="276"/>
      </w:pPr>
      <w:r>
        <w:rPr>
          <w:rFonts w:ascii="Arial" w:cs="Arial" w:eastAsia="Arial" w:hAnsi="Arial"/>
          <w:b/>
          <w:bCs/>
          <w:color w:val="333333"/>
          <w:sz w:val="22"/>
          <w:szCs w:val="22"/>
        </w:rPr>
        <w:t xml:space="preserve">FTF Advantage: </w:t>
      </w:r>
      <w:r>
        <w:rPr>
          <w:rFonts w:ascii="Arial" w:cs="Arial" w:eastAsia="Arial" w:hAnsi="Arial"/>
          <w:color w:val="333333"/>
          <w:sz w:val="22"/>
          <w:szCs w:val="22"/>
        </w:rPr>
        <w:t xml:space="preserve">Sole FTF on certain strengths of semaglutide (Ozempic/Wegovy), olaparib, and other key products</w:t>
      </w:r>
    </w:p>
    <w:p>
      <w:pPr>
        <w:pStyle w:val="Heading2"/>
        <w:spacing w:before="280" w:after="160"/>
      </w:pPr>
      <w:r>
        <w:rPr>
          <w:rFonts w:ascii="Arial" w:cs="Arial" w:eastAsia="Arial" w:hAnsi="Arial"/>
        </w:rPr>
        <w:t xml:space="preserve">2.3 Geographic Diversification Strategy</w:t>
      </w:r>
    </w:p>
    <w:p>
      <w:pPr>
        <w:spacing w:after="160" w:line="276"/>
      </w:pPr>
      <w:r>
        <w:rPr>
          <w:rFonts w:ascii="Arial" w:cs="Arial" w:eastAsia="Arial" w:hAnsi="Arial"/>
          <w:color w:val="333333"/>
          <w:sz w:val="22"/>
          <w:szCs w:val="22"/>
        </w:rPr>
        <w:t xml:space="preserve">Management has articulated a clear strategy to reduce US dependence and build a global generics platform:</w:t>
      </w:r>
    </w:p>
    <w:p>
      <w:pPr>
        <w:pStyle w:val="ListParagraph"/>
        <w:numPr>
          <w:ilvl w:val="0"/>
          <w:numId w:val="2"/>
        </w:numPr>
        <w:spacing w:after="80" w:line="276"/>
      </w:pPr>
      <w:r>
        <w:rPr>
          <w:rFonts w:ascii="Arial" w:cs="Arial" w:eastAsia="Arial" w:hAnsi="Arial"/>
          <w:b/>
          <w:bCs/>
          <w:color w:val="333333"/>
          <w:sz w:val="22"/>
          <w:szCs w:val="22"/>
        </w:rPr>
        <w:t xml:space="preserve">South Africa (Adcock Ingram): </w:t>
      </w:r>
      <w:r>
        <w:rPr>
          <w:rFonts w:ascii="Arial" w:cs="Arial" w:eastAsia="Arial" w:hAnsi="Arial"/>
          <w:color w:val="333333"/>
          <w:sz w:val="22"/>
          <w:szCs w:val="22"/>
        </w:rPr>
        <w:t xml:space="preserve">35.75% stake in the 2nd largest private-market pharma company, revenue &gt;US$536M, PAT ~US$46M. Acquired at 10-12x EBITDA vs Indian pharma at 30-40x.</w:t>
      </w:r>
    </w:p>
    <w:p>
      <w:pPr>
        <w:pStyle w:val="ListParagraph"/>
        <w:numPr>
          <w:ilvl w:val="0"/>
          <w:numId w:val="2"/>
        </w:numPr>
        <w:spacing w:after="80" w:line="276"/>
      </w:pPr>
      <w:r>
        <w:rPr>
          <w:rFonts w:ascii="Arial" w:cs="Arial" w:eastAsia="Arial" w:hAnsi="Arial"/>
          <w:b/>
          <w:bCs/>
          <w:color w:val="333333"/>
          <w:sz w:val="22"/>
          <w:szCs w:val="22"/>
        </w:rPr>
        <w:t xml:space="preserve">Brazil: </w:t>
      </w:r>
      <w:r>
        <w:rPr>
          <w:rFonts w:ascii="Arial" w:cs="Arial" w:eastAsia="Arial" w:hAnsi="Arial"/>
          <w:color w:val="333333"/>
          <w:sz w:val="22"/>
          <w:szCs w:val="22"/>
        </w:rPr>
        <w:t xml:space="preserve">Launched Carfilzomib as the first generic globally. Growing ROW presence.</w:t>
      </w:r>
    </w:p>
    <w:p>
      <w:pPr>
        <w:pStyle w:val="ListParagraph"/>
        <w:numPr>
          <w:ilvl w:val="0"/>
          <w:numId w:val="2"/>
        </w:numPr>
        <w:spacing w:after="80" w:line="276"/>
      </w:pPr>
      <w:r>
        <w:rPr>
          <w:rFonts w:ascii="Arial" w:cs="Arial" w:eastAsia="Arial" w:hAnsi="Arial"/>
          <w:b/>
          <w:bCs/>
          <w:color w:val="333333"/>
          <w:sz w:val="22"/>
          <w:szCs w:val="22"/>
        </w:rPr>
        <w:t xml:space="preserve">Canada &amp; Middle East: </w:t>
      </w:r>
      <w:r>
        <w:rPr>
          <w:rFonts w:ascii="Arial" w:cs="Arial" w:eastAsia="Arial" w:hAnsi="Arial"/>
          <w:color w:val="333333"/>
          <w:sz w:val="22"/>
          <w:szCs w:val="22"/>
        </w:rPr>
        <w:t xml:space="preserve">Established distribution partnerships, contributed meaningfully in Q3 FY26 when Revlimid dropped.</w:t>
      </w:r>
    </w:p>
    <w:p>
      <w:pPr>
        <w:pStyle w:val="ListParagraph"/>
        <w:numPr>
          <w:ilvl w:val="0"/>
          <w:numId w:val="2"/>
        </w:numPr>
        <w:spacing w:after="80" w:line="276"/>
      </w:pPr>
      <w:r>
        <w:rPr>
          <w:rFonts w:ascii="Arial" w:cs="Arial" w:eastAsia="Arial" w:hAnsi="Arial"/>
          <w:b/>
          <w:bCs/>
          <w:color w:val="333333"/>
          <w:sz w:val="22"/>
          <w:szCs w:val="22"/>
        </w:rPr>
        <w:t xml:space="preserve">India Domestic: </w:t>
      </w:r>
      <w:r>
        <w:rPr>
          <w:rFonts w:ascii="Arial" w:cs="Arial" w:eastAsia="Arial" w:hAnsi="Arial"/>
          <w:color w:val="333333"/>
          <w:sz w:val="22"/>
          <w:szCs w:val="22"/>
        </w:rPr>
        <w:t xml:space="preserve">Annualized ~INR 450-460 crores, targeting 20%+ growth driven by semaglutide launch with 350-400 dedicated MRs.</w:t>
      </w:r>
    </w:p>
    <w:p>
      <w:pPr>
        <w:pStyle w:val="Heading2"/>
        <w:spacing w:before="280" w:after="160"/>
      </w:pPr>
      <w:r>
        <w:rPr>
          <w:rFonts w:ascii="Arial" w:cs="Arial" w:eastAsia="Arial" w:hAnsi="Arial"/>
        </w:rPr>
        <w:t xml:space="preserve">2.4 Adcock Ingram - The M&amp;A Thesis</w:t>
      </w:r>
    </w:p>
    <w:p>
      <w:pPr>
        <w:spacing w:after="160" w:line="276"/>
      </w:pPr>
      <w:r>
        <w:rPr>
          <w:rFonts w:ascii="Arial" w:cs="Arial" w:eastAsia="Arial" w:hAnsi="Arial"/>
          <w:color w:val="333333"/>
          <w:sz w:val="22"/>
          <w:szCs w:val="22"/>
        </w:rPr>
        <w:t xml:space="preserve">The Adcock Ingram acquisition (INR 2,000 crores for 35.75%) is a cornerstone of Natco's diversification. Adcock is South Africa's second-largest pharma company with 130+ years of history, 3 manufacturing plants near Johannesburg, and PIC/S-approved facilities. Natco gets one-third board representation and a first right of refusal if Bidvest (64.25% owner) ever decides to sell. The company has now been delisted and made private, with only Bidvest and Natco as shareholders. Management expects to infuse Natco's pipeline (including GLP-1 and HIV products) into Adcock to accelerate growth across Africa.</w:t>
      </w:r>
    </w:p>
    <w:p>
      <w:r>
        <w:br w:type="page"/>
      </w:r>
    </w:p>
    <w:p>
      <w:pPr>
        <w:pStyle w:val="Heading1"/>
        <w:spacing w:before="360" w:after="200"/>
      </w:pPr>
      <w:r>
        <w:rPr>
          <w:rFonts w:ascii="Arial" w:cs="Arial" w:eastAsia="Arial" w:hAnsi="Arial"/>
        </w:rPr>
        <w:t xml:space="preserve">3. Red Flags Assessment</w:t>
      </w:r>
    </w:p>
    <w:p>
      <w:pPr>
        <w:spacing w:after="160" w:line="276"/>
      </w:pPr>
      <w:r>
        <w:rPr>
          <w:rFonts w:ascii="Arial" w:cs="Arial" w:eastAsia="Arial" w:hAnsi="Arial"/>
          <w:color w:val="333333"/>
          <w:sz w:val="22"/>
          <w:szCs w:val="22"/>
        </w:rPr>
        <w:t xml:space="preserve">The following risk factors have been identified and rated on a scale of 1-10 (10 being highest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4400"/>
        <w:gridCol w:w="1560"/>
      </w:tblGrid>
      <w:tr>
        <w:tc>
          <w:tcPr>
            <w:tcW w:type="dxa" w:w="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w:t>
            </w:r>
          </w:p>
        </w:tc>
        <w:tc>
          <w:tcPr>
            <w:tcW w:type="dxa" w:w="2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Red Flag</w:t>
            </w:r>
          </w:p>
        </w:tc>
        <w:tc>
          <w:tcPr>
            <w:tcW w:type="dxa" w:w="44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Description</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Rating</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Revlimid Cliff</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H1 FY26 PAT was INR 998 Cr; H2 base drops to INR 150-160 Cr/quarter. Massive earnings cliff already in progress. Market may not have fully adjusted expectations for the new base rate.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0000"/>
                <w:sz w:val="20"/>
                <w:szCs w:val="20"/>
              </w:rPr>
              <w:t xml:space="preserve">9/10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Semaglutide Execution Risk</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India launch depends on DCGI approval (post-March), outsourced fill-finish from OneSource. US FTF is years away with massive Novo Nordisk patent estate. Any delay or clinical setback could significantly impact the bull case.</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C0000"/>
                <w:sz w:val="20"/>
                <w:szCs w:val="20"/>
              </w:rPr>
              <w:t xml:space="preserve">8/10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FDA Plant Compliance</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Kothur had a warning letter (now resolved), Chennai classification pending, Vizag inspection due. Any FDA action could block new product approvals and launches, directly impacting the FY27-28 pipeline.</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300"/>
                <w:sz w:val="20"/>
                <w:szCs w:val="20"/>
              </w:rPr>
              <w:t xml:space="preserve">7/10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Adcock Minority Stake Risk</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Only 35.75% ownership with Bidvest controlling 64.25%. Limited operational control despite 1/3 board seats. Amortization burden of INR 18.75 Cr/quarter reduces net contribution to INR 10-11 Cr/quarter. Dependent on Bidvest's strategic direction.</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E67300"/>
                <w:sz w:val="20"/>
                <w:szCs w:val="20"/>
              </w:rPr>
              <w:t xml:space="preserve">6/10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Concentration in Para IV Strategy</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Entire US pipeline depends on patent litigation outcomes. Settlements can be unpredictable. Olaparib still being litigated across multiple patents. Any adverse court ruling can derail multi-year product plans.</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300"/>
                <w:sz w:val="20"/>
                <w:szCs w:val="20"/>
              </w:rPr>
              <w:t xml:space="preserve">7/10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Crop Health Drag</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Segment still near breakeven after years of investment. Demerger targeted Oct-Nov 2026 but timeline may slip. Consuming management bandwidth and capital that could be deployed elsewhere.</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C9900"/>
                <w:sz w:val="20"/>
                <w:szCs w:val="20"/>
              </w:rPr>
              <w:t xml:space="preserve">4/10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M&amp;A Execution Risk</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Management explicitly states INR 10,000 Cr revenue target needs M&amp;A. Actively pursuing 2-3 targets for 2026 closure. Integration risk is real, especially in unfamiliar geographies. Overpaying is a possibility given stated urgency.</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E67300"/>
                <w:sz w:val="20"/>
                <w:szCs w:val="20"/>
              </w:rPr>
              <w:t xml:space="preserve">6/10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Key Man Dependency</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Rajeev Nannapaneni (VC &amp; CEO) is central to strategy, litigation decisions, M&amp;A, and pipeline selection. Institutional depth below top management is unclear from available transcripts.</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CC9900"/>
                <w:sz w:val="20"/>
                <w:szCs w:val="20"/>
              </w:rPr>
              <w:t xml:space="preserve">5/10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bCs/>
                <w:color w:val="333333"/>
                <w:sz w:val="20"/>
                <w:szCs w:val="20"/>
              </w:rPr>
              <w:t xml:space="preserve">NCE/Cell &amp; Gene Therapy Bets</w:t>
            </w:r>
          </w:p>
        </w:tc>
        <w:tc>
          <w:tcPr>
            <w:tcW w:type="dxa" w:w="4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INR 8M in eGenesis (pig kidney CRISPR), NRC-2694 Phase II for head/neck cancer. While exciting, these are high-risk, early-stage investments with binary outcomes and years to potential payoff.</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bCs/>
                <w:color w:val="CC9900"/>
                <w:sz w:val="20"/>
                <w:szCs w:val="20"/>
              </w:rPr>
              <w:t xml:space="preserve">4/10</w:t>
            </w:r>
          </w:p>
        </w:tc>
      </w:tr>
      <w:tr>
        <w:tc>
          <w:tcPr>
            <w:tcW w:type="dxa" w:w="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w:t>
            </w:r>
          </w:p>
        </w:tc>
        <w:tc>
          <w:tcPr>
            <w:tcW w:type="dxa" w:w="2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bCs/>
                <w:color w:val="333333"/>
                <w:sz w:val="20"/>
                <w:szCs w:val="20"/>
              </w:rPr>
              <w:t xml:space="preserve">US Pricing Pressure</w:t>
            </w:r>
          </w:p>
        </w:tc>
        <w:tc>
          <w:tcPr>
            <w:tcW w:type="dxa" w:w="44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Generic drug pricing in the US continues to face deflationary pressure. Post-exclusivity, products face rapid margin compression. Base US business growth requires continuous new launches to offset price erosion.</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bCs/>
                <w:color w:val="E67300"/>
                <w:sz w:val="20"/>
                <w:szCs w:val="20"/>
              </w:rPr>
              <w:t xml:space="preserve">6/10</w:t>
            </w:r>
          </w:p>
        </w:tc>
      </w:tr>
    </w:tbl>
    <w:p>
      <w:r>
        <w:br w:type="page"/>
      </w:r>
    </w:p>
    <w:p>
      <w:pPr>
        <w:pStyle w:val="Heading1"/>
        <w:spacing w:before="360" w:after="200"/>
      </w:pPr>
      <w:r>
        <w:rPr>
          <w:rFonts w:ascii="Arial" w:cs="Arial" w:eastAsia="Arial" w:hAnsi="Arial"/>
        </w:rPr>
        <w:t xml:space="preserve">4. Future Financial Projections</w:t>
      </w:r>
    </w:p>
    <w:p>
      <w:pPr>
        <w:spacing w:after="160" w:line="276"/>
      </w:pPr>
      <w:r>
        <w:rPr>
          <w:rFonts w:ascii="Arial" w:cs="Arial" w:eastAsia="Arial" w:hAnsi="Arial"/>
          <w:color w:val="333333"/>
          <w:sz w:val="22"/>
          <w:szCs w:val="22"/>
        </w:rPr>
        <w:t xml:space="preserve">Based on management guidance, earnings call commentary, and pipeline visibility, the following projections are estimated. These assume no major FDA setbacks, successful semaglutide India launch in FY27, and gradual ramp-up of new US generics.</w:t>
      </w:r>
    </w:p>
    <w:p>
      <w:pPr>
        <w:pStyle w:val="Heading2"/>
        <w:spacing w:before="280" w:after="160"/>
      </w:pPr>
      <w:r>
        <w:rPr>
          <w:rFonts w:ascii="Arial" w:cs="Arial" w:eastAsia="Arial" w:hAnsi="Arial"/>
        </w:rPr>
        <w:t xml:space="preserve">4.1 Revenue Projections (INR Crores)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60"/>
        <w:gridCol w:w="2060"/>
        <w:gridCol w:w="204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Component</w:t>
            </w:r>
          </w:p>
        </w:tc>
        <w:tc>
          <w:tcPr>
            <w:tcW w:type="dxa" w:w="2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FY26E</w:t>
            </w:r>
          </w:p>
        </w:tc>
        <w:tc>
          <w:tcPr>
            <w:tcW w:type="dxa" w:w="2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FY27E</w:t>
            </w:r>
          </w:p>
        </w:tc>
        <w:tc>
          <w:tcPr>
            <w:tcW w:type="dxa" w:w="20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FY28E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US Generics (Ex-Revlimid)</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~1,600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~2,800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Revlimid Residual</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~1,800</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India Domestic</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~460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~750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ROW (Brazil, Canada, ME)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~350</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Adcock Consolidation (35.75%)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~550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API</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~200</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~220</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Crop Health</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 (demerged)</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~0</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Total Revenue</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~4,560</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~4,070</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~4,800</w:t>
            </w:r>
          </w:p>
        </w:tc>
      </w:tr>
    </w:tbl>
    <w:p>
      <w:pPr>
        <w:spacing w:after="160" w:line="276"/>
      </w:pPr>
      <w:r>
        <w:rPr>
          <w:rFonts w:ascii="Arial" w:cs="Arial" w:eastAsia="Arial" w:hAnsi="Arial"/>
          <w:i/>
          <w:iCs/>
          <w:color w:val="333333"/>
          <w:sz w:val="22"/>
          <w:szCs w:val="22"/>
        </w:rPr>
        <w:t xml:space="preserve">Note: FY27 shows a dip because Revlimid fully drops off (~INR 1,800 Cr reduction) while new products are still ramping. Adcock partial consolidation in FY26 becomes full-year in FY27. FY28 is where the true growth inflection should emerge.</w:t>
      </w:r>
    </w:p>
    <w:p>
      <w:pPr>
        <w:pStyle w:val="Heading2"/>
        <w:spacing w:before="280" w:after="160"/>
      </w:pPr>
      <w:r>
        <w:rPr>
          <w:rFonts w:ascii="Arial" w:cs="Arial" w:eastAsia="Arial" w:hAnsi="Arial"/>
        </w:rPr>
        <w:t xml:space="preserve">4.2 Profitability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60"/>
        <w:gridCol w:w="2060"/>
        <w:gridCol w:w="2040"/>
      </w:tblGrid>
      <w:tr>
        <w:tc>
          <w:tcPr>
            <w:tcW w:type="dxa" w:w="3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Metric</w:t>
            </w:r>
          </w:p>
        </w:tc>
        <w:tc>
          <w:tcPr>
            <w:tcW w:type="dxa" w:w="2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FY26E</w:t>
            </w:r>
          </w:p>
        </w:tc>
        <w:tc>
          <w:tcPr>
            <w:tcW w:type="dxa" w:w="20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FY27E</w:t>
            </w:r>
          </w:p>
        </w:tc>
        <w:tc>
          <w:tcPr>
            <w:tcW w:type="dxa" w:w="204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FY28E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EBITDA Margin</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~35%</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~28-30%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~30-32%</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PAT (INR Cr)</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1,280-1,300</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~700-800</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~950-1,100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EPS (INR, ~18 Cr shares)</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~72</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~40-44</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~53-61</w:t>
            </w:r>
          </w:p>
        </w:tc>
      </w:tr>
      <w:tr>
        <w:tc>
          <w:tcPr>
            <w:tcW w:type="dxa" w:w="3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R&amp;D (% of Sales)</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c>
          <w:tcPr>
            <w:tcW w:type="dxa" w:w="20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~8-9%</w:t>
            </w:r>
          </w:p>
        </w:tc>
        <w:tc>
          <w:tcPr>
            <w:tcW w:type="dxa" w:w="204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~8%</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 Quarterly PAT</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150-160</w:t>
            </w:r>
          </w:p>
        </w:tc>
        <w:tc>
          <w:tcPr>
            <w:tcW w:type="dxa" w:w="2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175-200</w:t>
            </w:r>
          </w:p>
        </w:tc>
        <w:tc>
          <w:tcPr>
            <w:tcW w:type="dxa" w:w="20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240-275</w:t>
            </w:r>
          </w:p>
        </w:tc>
      </w:tr>
    </w:tbl>
    <w:p>
      <w:pPr>
        <w:pStyle w:val="Heading2"/>
        <w:spacing w:before="280" w:after="160"/>
      </w:pPr>
      <w:r>
        <w:rPr>
          <w:rFonts w:ascii="Arial" w:cs="Arial" w:eastAsia="Arial" w:hAnsi="Arial"/>
        </w:rPr>
        <w:t xml:space="preserve">4.3 Key Assumptions</w:t>
      </w:r>
    </w:p>
    <w:p>
      <w:pPr>
        <w:pStyle w:val="ListParagraph"/>
        <w:numPr>
          <w:ilvl w:val="0"/>
          <w:numId w:val="2"/>
        </w:numPr>
        <w:spacing w:after="80" w:line="276"/>
      </w:pPr>
      <w:r>
        <w:rPr>
          <w:rFonts w:ascii="Arial" w:cs="Arial" w:eastAsia="Arial" w:hAnsi="Arial"/>
          <w:b/>
          <w:bCs/>
          <w:color w:val="333333"/>
          <w:sz w:val="22"/>
          <w:szCs w:val="22"/>
        </w:rPr>
        <w:t xml:space="preserve">Semaglutide India: </w:t>
      </w:r>
      <w:r>
        <w:rPr>
          <w:rFonts w:ascii="Arial" w:cs="Arial" w:eastAsia="Arial" w:hAnsi="Arial"/>
          <w:color w:val="333333"/>
          <w:sz w:val="22"/>
          <w:szCs w:val="22"/>
        </w:rPr>
        <w:t xml:space="preserve">Launches in Q1 FY27, ramps to INR 150-200 Cr revenue in first full year</w:t>
      </w:r>
    </w:p>
    <w:p>
      <w:pPr>
        <w:pStyle w:val="ListParagraph"/>
        <w:numPr>
          <w:ilvl w:val="0"/>
          <w:numId w:val="2"/>
        </w:numPr>
        <w:spacing w:after="80" w:line="276"/>
      </w:pPr>
      <w:r>
        <w:rPr>
          <w:rFonts w:ascii="Arial" w:cs="Arial" w:eastAsia="Arial" w:hAnsi="Arial"/>
          <w:b/>
          <w:bCs/>
          <w:color w:val="333333"/>
          <w:sz w:val="22"/>
          <w:szCs w:val="22"/>
        </w:rPr>
        <w:t xml:space="preserve">US Base Growth: </w:t>
      </w:r>
      <w:r>
        <w:rPr>
          <w:rFonts w:ascii="Arial" w:cs="Arial" w:eastAsia="Arial" w:hAnsi="Arial"/>
          <w:color w:val="333333"/>
          <w:sz w:val="22"/>
          <w:szCs w:val="22"/>
        </w:rPr>
        <w:t xml:space="preserve">10-15% annual growth from new product launches (Erdafitinib, Olaparib, Pomalidomide, Niraparib)</w:t>
      </w:r>
    </w:p>
    <w:p>
      <w:pPr>
        <w:pStyle w:val="ListParagraph"/>
        <w:numPr>
          <w:ilvl w:val="0"/>
          <w:numId w:val="2"/>
        </w:numPr>
        <w:spacing w:after="80" w:line="276"/>
      </w:pPr>
      <w:r>
        <w:rPr>
          <w:rFonts w:ascii="Arial" w:cs="Arial" w:eastAsia="Arial" w:hAnsi="Arial"/>
          <w:b/>
          <w:bCs/>
          <w:color w:val="333333"/>
          <w:sz w:val="22"/>
          <w:szCs w:val="22"/>
        </w:rPr>
        <w:t xml:space="preserve">Adcock: </w:t>
      </w:r>
      <w:r>
        <w:rPr>
          <w:rFonts w:ascii="Arial" w:cs="Arial" w:eastAsia="Arial" w:hAnsi="Arial"/>
          <w:color w:val="333333"/>
          <w:sz w:val="22"/>
          <w:szCs w:val="22"/>
        </w:rPr>
        <w:t xml:space="preserve">Steady-state INR 35-45 Cr PAT contribution per quarter after amortization</w:t>
      </w:r>
    </w:p>
    <w:p>
      <w:pPr>
        <w:pStyle w:val="ListParagraph"/>
        <w:numPr>
          <w:ilvl w:val="0"/>
          <w:numId w:val="2"/>
        </w:numPr>
        <w:spacing w:after="80" w:line="276"/>
      </w:pPr>
      <w:r>
        <w:rPr>
          <w:rFonts w:ascii="Arial" w:cs="Arial" w:eastAsia="Arial" w:hAnsi="Arial"/>
          <w:b/>
          <w:bCs/>
          <w:color w:val="333333"/>
          <w:sz w:val="22"/>
          <w:szCs w:val="22"/>
        </w:rPr>
        <w:t xml:space="preserve">OPM Normalization: </w:t>
      </w:r>
      <w:r>
        <w:rPr>
          <w:rFonts w:ascii="Arial" w:cs="Arial" w:eastAsia="Arial" w:hAnsi="Arial"/>
          <w:color w:val="333333"/>
          <w:sz w:val="22"/>
          <w:szCs w:val="22"/>
        </w:rPr>
        <w:t xml:space="preserve">Post-Revlimid, operating margins normalize to 28-32% range from the 45%+ peak</w:t>
      </w:r>
    </w:p>
    <w:p>
      <w:pPr>
        <w:pStyle w:val="ListParagraph"/>
        <w:numPr>
          <w:ilvl w:val="0"/>
          <w:numId w:val="2"/>
        </w:numPr>
        <w:spacing w:after="80" w:line="276"/>
      </w:pPr>
      <w:r>
        <w:rPr>
          <w:rFonts w:ascii="Arial" w:cs="Arial" w:eastAsia="Arial" w:hAnsi="Arial"/>
          <w:b/>
          <w:bCs/>
          <w:color w:val="333333"/>
          <w:sz w:val="22"/>
          <w:szCs w:val="22"/>
        </w:rPr>
        <w:t xml:space="preserve">M&amp;A Upside: </w:t>
      </w:r>
      <w:r>
        <w:rPr>
          <w:rFonts w:ascii="Arial" w:cs="Arial" w:eastAsia="Arial" w:hAnsi="Arial"/>
          <w:color w:val="333333"/>
          <w:sz w:val="22"/>
          <w:szCs w:val="22"/>
        </w:rPr>
        <w:t xml:space="preserve">Not modeled in base case; any acquisition in 2026 would be incremental</w:t>
      </w:r>
    </w:p>
    <w:p>
      <w:r>
        <w:br w:type="page"/>
      </w:r>
    </w:p>
    <w:p>
      <w:pPr>
        <w:pStyle w:val="Heading1"/>
        <w:spacing w:before="360" w:after="200"/>
      </w:pPr>
      <w:r>
        <w:rPr>
          <w:rFonts w:ascii="Arial" w:cs="Arial" w:eastAsia="Arial" w:hAnsi="Arial"/>
        </w:rPr>
        <w:t xml:space="preserve">5. Catalysts &amp; DNA Shift - What Can Drive Prices Up</w:t>
      </w:r>
    </w:p>
    <w:p>
      <w:pPr>
        <w:spacing w:after="160" w:line="276"/>
      </w:pPr>
      <w:r>
        <w:rPr>
          <w:rFonts w:ascii="Arial" w:cs="Arial" w:eastAsia="Arial" w:hAnsi="Arial"/>
          <w:color w:val="333333"/>
          <w:sz w:val="22"/>
          <w:szCs w:val="22"/>
        </w:rPr>
        <w:t xml:space="preserve">This section identifies specific inflection points and structural changes that could significantly re-rate the stock beyond consensus expectations.</w:t>
      </w:r>
    </w:p>
    <w:p>
      <w:pPr>
        <w:pStyle w:val="Heading2"/>
        <w:spacing w:before="280" w:after="160"/>
      </w:pPr>
      <w:r>
        <w:rPr>
          <w:rFonts w:ascii="Arial" w:cs="Arial" w:eastAsia="Arial" w:hAnsi="Arial"/>
        </w:rPr>
        <w:t xml:space="preserve">5.1 Semaglutide - The GLP-1 Mega Opportunity</w:t>
      </w:r>
    </w:p>
    <w:p>
      <w:pPr>
        <w:spacing w:after="160" w:line="276"/>
      </w:pPr>
      <w:r>
        <w:rPr>
          <w:rFonts w:ascii="Arial" w:cs="Arial" w:eastAsia="Arial" w:hAnsi="Arial"/>
          <w:color w:val="333333"/>
          <w:sz w:val="22"/>
          <w:szCs w:val="22"/>
        </w:rPr>
        <w:t xml:space="preserve">This is the single biggest catalyst for Natco over the next 3-5 years. In India, the company expects to be among the first wave of generic semaglutide launchers (post-March 2026), with 350-400 MRs dedicated out of 600 total. The domestic opportunity alone could add INR 150-200 Cr annually. However, the US opportunity is described by management as being 100x bigger than India. Natco holds sole FTF status on certain strengths of Ozempic/Wegovy. While the US launch is years away due to the patent landscape, even a settlement for early entry could be a multi-billion-rupee windfall, similar to the Revlimid playbook but potentially even larger given Wegovy/Ozempic's market size exceeding $40B globally.</w:t>
      </w:r>
    </w:p>
    <w:p>
      <w:pPr>
        <w:pStyle w:val="Heading2"/>
        <w:spacing w:before="280" w:after="160"/>
      </w:pPr>
      <w:r>
        <w:rPr>
          <w:rFonts w:ascii="Arial" w:cs="Arial" w:eastAsia="Arial" w:hAnsi="Arial"/>
        </w:rPr>
        <w:t xml:space="preserve">5.2 Adcock Ingram - Africa Platform Play</w:t>
      </w:r>
    </w:p>
    <w:p>
      <w:pPr>
        <w:spacing w:after="160" w:line="276"/>
      </w:pPr>
      <w:r>
        <w:rPr>
          <w:rFonts w:ascii="Arial" w:cs="Arial" w:eastAsia="Arial" w:hAnsi="Arial"/>
          <w:color w:val="333333"/>
          <w:sz w:val="22"/>
          <w:szCs w:val="22"/>
        </w:rPr>
        <w:t xml:space="preserve">The shift from being a pure US-focused generic player to building a global pharma platform is a genuine DNA shift. Adcock gives Natco a 130-year-old distribution platform across South Africa and sub-Saharan Africa. The plan to infuse GLP-1, HIV, and oncology products through Adcock's established network could transform the revenue profile. Acquired at 10-12x EBITDA versus Indian pharma peers at 30-40x, this represents significant value creation potential if executed well.</w:t>
      </w:r>
    </w:p>
    <w:p>
      <w:pPr>
        <w:pStyle w:val="Heading2"/>
        <w:spacing w:before="280" w:after="160"/>
      </w:pPr>
      <w:r>
        <w:rPr>
          <w:rFonts w:ascii="Arial" w:cs="Arial" w:eastAsia="Arial" w:hAnsi="Arial"/>
        </w:rPr>
        <w:t xml:space="preserve">5.3 Para IV Pipeline - FY27-35 Visibility</w:t>
      </w:r>
    </w:p>
    <w:p>
      <w:pPr>
        <w:spacing w:after="160" w:line="276"/>
      </w:pPr>
      <w:r>
        <w:rPr>
          <w:rFonts w:ascii="Arial" w:cs="Arial" w:eastAsia="Arial" w:hAnsi="Arial"/>
          <w:color w:val="333333"/>
          <w:sz w:val="22"/>
          <w:szCs w:val="22"/>
        </w:rPr>
        <w:t xml:space="preserve">Natco has disclosed a pipeline of Para IV filings with launches stretching from 2026 to 2035. Key near-term products include:</w:t>
      </w:r>
    </w:p>
    <w:p>
      <w:pPr>
        <w:pStyle w:val="ListParagraph"/>
        <w:numPr>
          <w:ilvl w:val="0"/>
          <w:numId w:val="2"/>
        </w:numPr>
        <w:spacing w:after="80" w:line="276"/>
      </w:pPr>
      <w:r>
        <w:rPr>
          <w:rFonts w:ascii="Arial" w:cs="Arial" w:eastAsia="Arial" w:hAnsi="Arial"/>
          <w:b/>
          <w:bCs/>
          <w:color w:val="333333"/>
          <w:sz w:val="22"/>
          <w:szCs w:val="22"/>
        </w:rPr>
        <w:t xml:space="preserve">Erdafitinib: </w:t>
      </w:r>
      <w:r>
        <w:rPr>
          <w:rFonts w:ascii="Arial" w:cs="Arial" w:eastAsia="Arial" w:hAnsi="Arial"/>
          <w:color w:val="333333"/>
          <w:sz w:val="22"/>
          <w:szCs w:val="22"/>
        </w:rPr>
        <w:t xml:space="preserve">Para IV approved, ~$60M product, first generic</w:t>
      </w:r>
    </w:p>
    <w:p>
      <w:pPr>
        <w:pStyle w:val="ListParagraph"/>
        <w:numPr>
          <w:ilvl w:val="0"/>
          <w:numId w:val="2"/>
        </w:numPr>
        <w:spacing w:after="80" w:line="276"/>
      </w:pPr>
      <w:r>
        <w:rPr>
          <w:rFonts w:ascii="Arial" w:cs="Arial" w:eastAsia="Arial" w:hAnsi="Arial"/>
          <w:b/>
          <w:bCs/>
          <w:color w:val="333333"/>
          <w:sz w:val="22"/>
          <w:szCs w:val="22"/>
        </w:rPr>
        <w:t xml:space="preserve">Olaparib: </w:t>
      </w:r>
      <w:r>
        <w:rPr>
          <w:rFonts w:ascii="Arial" w:cs="Arial" w:eastAsia="Arial" w:hAnsi="Arial"/>
          <w:color w:val="333333"/>
          <w:sz w:val="22"/>
          <w:szCs w:val="22"/>
        </w:rPr>
        <w:t xml:space="preserve">Sole exclusivity on one strength, shared on 60mg, blockbuster oncology drug</w:t>
      </w:r>
    </w:p>
    <w:p>
      <w:pPr>
        <w:pStyle w:val="ListParagraph"/>
        <w:numPr>
          <w:ilvl w:val="0"/>
          <w:numId w:val="2"/>
        </w:numPr>
        <w:spacing w:after="80" w:line="276"/>
      </w:pPr>
      <w:r>
        <w:rPr>
          <w:rFonts w:ascii="Arial" w:cs="Arial" w:eastAsia="Arial" w:hAnsi="Arial"/>
          <w:b/>
          <w:bCs/>
          <w:color w:val="333333"/>
          <w:sz w:val="22"/>
          <w:szCs w:val="22"/>
        </w:rPr>
        <w:t xml:space="preserve">Pomalidomide: </w:t>
      </w:r>
      <w:r>
        <w:rPr>
          <w:rFonts w:ascii="Arial" w:cs="Arial" w:eastAsia="Arial" w:hAnsi="Arial"/>
          <w:color w:val="333333"/>
          <w:sz w:val="22"/>
          <w:szCs w:val="22"/>
        </w:rPr>
        <w:t xml:space="preserve">Full approval with settlement, launch date confidential</w:t>
      </w:r>
    </w:p>
    <w:p>
      <w:pPr>
        <w:pStyle w:val="ListParagraph"/>
        <w:numPr>
          <w:ilvl w:val="0"/>
          <w:numId w:val="2"/>
        </w:numPr>
        <w:spacing w:after="80" w:line="276"/>
      </w:pPr>
      <w:r>
        <w:rPr>
          <w:rFonts w:ascii="Arial" w:cs="Arial" w:eastAsia="Arial" w:hAnsi="Arial"/>
          <w:b/>
          <w:bCs/>
          <w:color w:val="333333"/>
          <w:sz w:val="22"/>
          <w:szCs w:val="22"/>
        </w:rPr>
        <w:t xml:space="preserve">Niraparib: </w:t>
      </w:r>
      <w:r>
        <w:rPr>
          <w:rFonts w:ascii="Arial" w:cs="Arial" w:eastAsia="Arial" w:hAnsi="Arial"/>
          <w:color w:val="333333"/>
          <w:sz w:val="22"/>
          <w:szCs w:val="22"/>
        </w:rPr>
        <w:t xml:space="preserve">Filed, another oncology PARP inhibitor</w:t>
      </w:r>
    </w:p>
    <w:p>
      <w:pPr>
        <w:pStyle w:val="ListParagraph"/>
        <w:numPr>
          <w:ilvl w:val="0"/>
          <w:numId w:val="2"/>
        </w:numPr>
        <w:spacing w:after="80" w:line="276"/>
      </w:pPr>
      <w:r>
        <w:rPr>
          <w:rFonts w:ascii="Arial" w:cs="Arial" w:eastAsia="Arial" w:hAnsi="Arial"/>
          <w:b/>
          <w:bCs/>
          <w:color w:val="333333"/>
          <w:sz w:val="22"/>
          <w:szCs w:val="22"/>
        </w:rPr>
        <w:t xml:space="preserve">Risdiplam: </w:t>
      </w:r>
      <w:r>
        <w:rPr>
          <w:rFonts w:ascii="Arial" w:cs="Arial" w:eastAsia="Arial" w:hAnsi="Arial"/>
          <w:color w:val="333333"/>
          <w:sz w:val="22"/>
          <w:szCs w:val="22"/>
        </w:rPr>
        <w:t xml:space="preserve">Only generic in market for SMA (Spinal Muscular Atrophy), won court case</w:t>
      </w:r>
    </w:p>
    <w:p>
      <w:pPr>
        <w:spacing w:after="160" w:line="276"/>
      </w:pPr>
      <w:r>
        <w:rPr>
          <w:rFonts w:ascii="Arial" w:cs="Arial" w:eastAsia="Arial" w:hAnsi="Arial"/>
          <w:color w:val="333333"/>
          <w:sz w:val="22"/>
          <w:szCs w:val="22"/>
        </w:rPr>
        <w:t xml:space="preserve">Each successful launch in this pipeline adds INR 50-200 Cr to the base business, creating a compounding effect over years.</w:t>
      </w:r>
    </w:p>
    <w:p>
      <w:pPr>
        <w:pStyle w:val="Heading2"/>
        <w:spacing w:before="280" w:after="160"/>
      </w:pPr>
      <w:r>
        <w:rPr>
          <w:rFonts w:ascii="Arial" w:cs="Arial" w:eastAsia="Arial" w:hAnsi="Arial"/>
        </w:rPr>
        <w:t xml:space="preserve">5.4 eGenesis - The Moonshot Bet</w:t>
      </w:r>
    </w:p>
    <w:p>
      <w:pPr>
        <w:spacing w:after="160" w:line="276"/>
      </w:pPr>
      <w:r>
        <w:rPr>
          <w:rFonts w:ascii="Arial" w:cs="Arial" w:eastAsia="Arial" w:hAnsi="Arial"/>
          <w:color w:val="333333"/>
          <w:sz w:val="22"/>
          <w:szCs w:val="22"/>
        </w:rPr>
        <w:t xml:space="preserve">Natco has invested $8M in eGenesis, a CRISPR-based company working on pig-to-human kidney transplants. Management describes this as their most exciting NCE investment. While this is a high-risk bet with a long gestation period, if successful, the addressable market (organ transplant shortage is massive globally) could be transformative. This signals management's willingness to take calculated bets beyond traditional generics.</w:t>
      </w:r>
    </w:p>
    <w:p>
      <w:pPr>
        <w:pStyle w:val="Heading2"/>
        <w:spacing w:before="280" w:after="160"/>
      </w:pPr>
      <w:r>
        <w:rPr>
          <w:rFonts w:ascii="Arial" w:cs="Arial" w:eastAsia="Arial" w:hAnsi="Arial"/>
        </w:rPr>
        <w:t xml:space="preserve">5.5 Crop Health Demerger - Value Unlock</w:t>
      </w:r>
    </w:p>
    <w:p>
      <w:pPr>
        <w:spacing w:after="160" w:line="276"/>
      </w:pPr>
      <w:r>
        <w:rPr>
          <w:rFonts w:ascii="Arial" w:cs="Arial" w:eastAsia="Arial" w:hAnsi="Arial"/>
          <w:color w:val="333333"/>
          <w:sz w:val="22"/>
          <w:szCs w:val="22"/>
        </w:rPr>
        <w:t xml:space="preserve">The planned demerger of Crop Health Sciences (targeting Oct-Nov 2026) should unlock value by removing a near-breakeven segment that dilutes consolidated margins. Post-demerger, the pharma-focused entity should command a cleaner valuation multiple.</w:t>
      </w:r>
    </w:p>
    <w:p>
      <w:pPr>
        <w:pStyle w:val="Heading2"/>
        <w:spacing w:before="280" w:after="160"/>
      </w:pPr>
      <w:r>
        <w:rPr>
          <w:rFonts w:ascii="Arial" w:cs="Arial" w:eastAsia="Arial" w:hAnsi="Arial"/>
        </w:rPr>
        <w:t xml:space="preserve">5.6 M&amp;A Acceleration</w:t>
      </w:r>
    </w:p>
    <w:p>
      <w:pPr>
        <w:spacing w:after="160" w:line="276"/>
      </w:pPr>
      <w:r>
        <w:rPr>
          <w:rFonts w:ascii="Arial" w:cs="Arial" w:eastAsia="Arial" w:hAnsi="Arial"/>
          <w:color w:val="333333"/>
          <w:sz w:val="22"/>
          <w:szCs w:val="22"/>
        </w:rPr>
        <w:t xml:space="preserve">With INR 2,500 Cr net cash and a stated intent to close at least 1 more acquisition in 2026, any value-accretive deal in an underserved geography could meaningfully expand the addressable market. Management has explicitly stated that reaching INR 10,000 Cr revenue requires M&amp;A, suggesting transformational deals are being actively pursued.</w:t>
      </w:r>
    </w:p>
    <w:p>
      <w:r>
        <w:br w:type="page"/>
      </w:r>
    </w:p>
    <w:p>
      <w:pPr>
        <w:pStyle w:val="Heading1"/>
        <w:spacing w:before="360" w:after="200"/>
      </w:pPr>
      <w:r>
        <w:rPr>
          <w:rFonts w:ascii="Arial" w:cs="Arial" w:eastAsia="Arial" w:hAnsi="Arial"/>
        </w:rPr>
        <w:t xml:space="preserve">6. Management Quality Assessment</w:t>
      </w:r>
    </w:p>
    <w:p>
      <w:pPr>
        <w:spacing w:after="160" w:line="276"/>
      </w:pPr>
      <w:r>
        <w:rPr>
          <w:rFonts w:ascii="Arial" w:cs="Arial" w:eastAsia="Arial" w:hAnsi="Arial"/>
          <w:color w:val="333333"/>
          <w:sz w:val="22"/>
          <w:szCs w:val="22"/>
        </w:rPr>
        <w:t xml:space="preserve">Based on four earnings calls, management (led by Rajeev Nannapaneni, VC &amp; CEO) demonstrates several positive traits:</w:t>
      </w:r>
    </w:p>
    <w:p>
      <w:pPr>
        <w:pStyle w:val="ListParagraph"/>
        <w:numPr>
          <w:ilvl w:val="0"/>
          <w:numId w:val="2"/>
        </w:numPr>
        <w:spacing w:after="80" w:line="276"/>
      </w:pPr>
      <w:r>
        <w:rPr>
          <w:rFonts w:ascii="Arial" w:cs="Arial" w:eastAsia="Arial" w:hAnsi="Arial"/>
          <w:b/>
          <w:bCs/>
          <w:color w:val="333333"/>
          <w:sz w:val="22"/>
          <w:szCs w:val="22"/>
        </w:rPr>
        <w:t xml:space="preserve">Transparency: </w:t>
      </w:r>
      <w:r>
        <w:rPr>
          <w:rFonts w:ascii="Arial" w:cs="Arial" w:eastAsia="Arial" w:hAnsi="Arial"/>
          <w:color w:val="333333"/>
          <w:sz w:val="22"/>
          <w:szCs w:val="22"/>
        </w:rPr>
        <w:t xml:space="preserve">Openly discusses the Revlimid cliff, does not sugarcoat the H2 earnings decline, provides clear quarterly guidance</w:t>
      </w:r>
    </w:p>
    <w:p>
      <w:pPr>
        <w:pStyle w:val="ListParagraph"/>
        <w:numPr>
          <w:ilvl w:val="0"/>
          <w:numId w:val="2"/>
        </w:numPr>
        <w:spacing w:after="80" w:line="276"/>
      </w:pPr>
      <w:r>
        <w:rPr>
          <w:rFonts w:ascii="Arial" w:cs="Arial" w:eastAsia="Arial" w:hAnsi="Arial"/>
          <w:b/>
          <w:bCs/>
          <w:color w:val="333333"/>
          <w:sz w:val="22"/>
          <w:szCs w:val="22"/>
        </w:rPr>
        <w:t xml:space="preserve">Strategic Vision: </w:t>
      </w:r>
      <w:r>
        <w:rPr>
          <w:rFonts w:ascii="Arial" w:cs="Arial" w:eastAsia="Arial" w:hAnsi="Arial"/>
          <w:color w:val="333333"/>
          <w:sz w:val="22"/>
          <w:szCs w:val="22"/>
        </w:rPr>
        <w:t xml:space="preserve">Articulated a clear 10-year oncology pipeline, geographic diversification thesis, and INR 10,000 Cr revenue ambition</w:t>
      </w:r>
    </w:p>
    <w:p>
      <w:pPr>
        <w:pStyle w:val="ListParagraph"/>
        <w:numPr>
          <w:ilvl w:val="0"/>
          <w:numId w:val="2"/>
        </w:numPr>
        <w:spacing w:after="80" w:line="276"/>
      </w:pPr>
      <w:r>
        <w:rPr>
          <w:rFonts w:ascii="Arial" w:cs="Arial" w:eastAsia="Arial" w:hAnsi="Arial"/>
          <w:b/>
          <w:bCs/>
          <w:color w:val="333333"/>
          <w:sz w:val="22"/>
          <w:szCs w:val="22"/>
        </w:rPr>
        <w:t xml:space="preserve">Capital Discipline: </w:t>
      </w:r>
      <w:r>
        <w:rPr>
          <w:rFonts w:ascii="Arial" w:cs="Arial" w:eastAsia="Arial" w:hAnsi="Arial"/>
          <w:color w:val="333333"/>
          <w:sz w:val="22"/>
          <w:szCs w:val="22"/>
        </w:rPr>
        <w:t xml:space="preserve">Acquired Adcock at 10-12x EBITDA when Indian peers trade at 30-40x; maintained INR 2,500 Cr cash post-deal</w:t>
      </w:r>
    </w:p>
    <w:p>
      <w:pPr>
        <w:pStyle w:val="ListParagraph"/>
        <w:numPr>
          <w:ilvl w:val="0"/>
          <w:numId w:val="2"/>
        </w:numPr>
        <w:spacing w:after="80" w:line="276"/>
      </w:pPr>
      <w:r>
        <w:rPr>
          <w:rFonts w:ascii="Arial" w:cs="Arial" w:eastAsia="Arial" w:hAnsi="Arial"/>
          <w:b/>
          <w:bCs/>
          <w:color w:val="333333"/>
          <w:sz w:val="22"/>
          <w:szCs w:val="22"/>
        </w:rPr>
        <w:t xml:space="preserve">Execution Track Record: </w:t>
      </w:r>
      <w:r>
        <w:rPr>
          <w:rFonts w:ascii="Arial" w:cs="Arial" w:eastAsia="Arial" w:hAnsi="Arial"/>
          <w:color w:val="333333"/>
          <w:sz w:val="22"/>
          <w:szCs w:val="22"/>
        </w:rPr>
        <w:t xml:space="preserve">Revlimid was one of the most successful generic launches in Indian pharma history; Kothur warning letter resolved proactively</w:t>
      </w:r>
    </w:p>
    <w:p>
      <w:pPr>
        <w:spacing w:after="160" w:line="276"/>
      </w:pPr>
      <w:r>
        <w:rPr>
          <w:rFonts w:ascii="Arial" w:cs="Arial" w:eastAsia="Arial" w:hAnsi="Arial"/>
          <w:color w:val="333333"/>
          <w:sz w:val="22"/>
          <w:szCs w:val="22"/>
        </w:rPr>
        <w:t xml:space="preserve">Areas of concern include heavy reliance on the CEO for all strategic decisions and lack of visible succession planning from public disclosures.</w:t>
      </w:r>
    </w:p>
    <w:p>
      <w:r>
        <w:br w:type="page"/>
      </w:r>
    </w:p>
    <w:p>
      <w:pPr>
        <w:pStyle w:val="Heading1"/>
        <w:spacing w:before="360" w:after="200"/>
      </w:pPr>
      <w:r>
        <w:rPr>
          <w:rFonts w:ascii="Arial" w:cs="Arial" w:eastAsia="Arial" w:hAnsi="Arial"/>
        </w:rPr>
        <w:t xml:space="preserve">7. Investment Thesis Summary</w:t>
      </w:r>
    </w:p>
    <w:p>
      <w:pPr>
        <w:pStyle w:val="Heading2"/>
        <w:spacing w:before="280" w:after="160"/>
      </w:pPr>
      <w:r>
        <w:rPr>
          <w:rFonts w:ascii="Arial" w:cs="Arial" w:eastAsia="Arial" w:hAnsi="Arial"/>
        </w:rPr>
        <w:t xml:space="preserve">Bull Case</w:t>
      </w:r>
    </w:p>
    <w:p>
      <w:pPr>
        <w:pStyle w:val="ListParagraph"/>
        <w:numPr>
          <w:ilvl w:val="0"/>
          <w:numId w:val="2"/>
        </w:numPr>
        <w:spacing w:after="80" w:line="276"/>
      </w:pPr>
      <w:r>
        <w:rPr>
          <w:rFonts w:ascii="Arial" w:cs="Arial" w:eastAsia="Arial" w:hAnsi="Arial"/>
          <w:color w:val="333333"/>
          <w:sz w:val="22"/>
          <w:szCs w:val="22"/>
        </w:rPr>
        <w:t xml:space="preserve">Semaglutide India launches in FY27 and ramps quickly; US settlement provides early entry with sole FTF on key strengths</w:t>
      </w:r>
    </w:p>
    <w:p>
      <w:pPr>
        <w:pStyle w:val="ListParagraph"/>
        <w:numPr>
          <w:ilvl w:val="0"/>
          <w:numId w:val="2"/>
        </w:numPr>
        <w:spacing w:after="80" w:line="276"/>
      </w:pPr>
      <w:r>
        <w:rPr>
          <w:rFonts w:ascii="Arial" w:cs="Arial" w:eastAsia="Arial" w:hAnsi="Arial"/>
          <w:color w:val="333333"/>
          <w:sz w:val="22"/>
          <w:szCs w:val="22"/>
        </w:rPr>
        <w:t xml:space="preserve">Para IV pipeline delivers 2-3 successful launches per year from FY27, adding INR 300-500 Cr to base revenue annually</w:t>
      </w:r>
    </w:p>
    <w:p>
      <w:pPr>
        <w:pStyle w:val="ListParagraph"/>
        <w:numPr>
          <w:ilvl w:val="0"/>
          <w:numId w:val="2"/>
        </w:numPr>
        <w:spacing w:after="80" w:line="276"/>
      </w:pPr>
      <w:r>
        <w:rPr>
          <w:rFonts w:ascii="Arial" w:cs="Arial" w:eastAsia="Arial" w:hAnsi="Arial"/>
          <w:color w:val="333333"/>
          <w:sz w:val="22"/>
          <w:szCs w:val="22"/>
        </w:rPr>
        <w:t xml:space="preserve">Adcock becomes a growth platform with Natco's pipeline infusion driving 15-20% growth</w:t>
      </w:r>
    </w:p>
    <w:p>
      <w:pPr>
        <w:pStyle w:val="ListParagraph"/>
        <w:numPr>
          <w:ilvl w:val="0"/>
          <w:numId w:val="2"/>
        </w:numPr>
        <w:spacing w:after="80" w:line="276"/>
      </w:pPr>
      <w:r>
        <w:rPr>
          <w:rFonts w:ascii="Arial" w:cs="Arial" w:eastAsia="Arial" w:hAnsi="Arial"/>
          <w:color w:val="333333"/>
          <w:sz w:val="22"/>
          <w:szCs w:val="22"/>
        </w:rPr>
        <w:t xml:space="preserve">M&amp;A adds another INR 500-1,000 Cr revenue geography at reasonable valuations</w:t>
      </w:r>
    </w:p>
    <w:p>
      <w:pPr>
        <w:pStyle w:val="ListParagraph"/>
        <w:numPr>
          <w:ilvl w:val="0"/>
          <w:numId w:val="2"/>
        </w:numPr>
        <w:spacing w:after="80" w:line="276"/>
      </w:pPr>
      <w:r>
        <w:rPr>
          <w:rFonts w:ascii="Arial" w:cs="Arial" w:eastAsia="Arial" w:hAnsi="Arial"/>
          <w:color w:val="333333"/>
          <w:sz w:val="22"/>
          <w:szCs w:val="22"/>
        </w:rPr>
        <w:t xml:space="preserve">FY28-29 PAT potential: INR 1,200-1,500 Cr on a sustainable basis (no one-off exclusivities)</w:t>
      </w:r>
    </w:p>
    <w:p>
      <w:pPr>
        <w:pStyle w:val="Heading2"/>
        <w:spacing w:before="280" w:after="160"/>
      </w:pPr>
      <w:r>
        <w:rPr>
          <w:rFonts w:ascii="Arial" w:cs="Arial" w:eastAsia="Arial" w:hAnsi="Arial"/>
        </w:rPr>
        <w:t xml:space="preserve">Base Case</w:t>
      </w:r>
    </w:p>
    <w:p>
      <w:pPr>
        <w:pStyle w:val="ListParagraph"/>
        <w:numPr>
          <w:ilvl w:val="0"/>
          <w:numId w:val="2"/>
        </w:numPr>
        <w:spacing w:after="80" w:line="276"/>
      </w:pPr>
      <w:r>
        <w:rPr>
          <w:rFonts w:ascii="Arial" w:cs="Arial" w:eastAsia="Arial" w:hAnsi="Arial"/>
          <w:color w:val="333333"/>
          <w:sz w:val="22"/>
          <w:szCs w:val="22"/>
        </w:rPr>
        <w:t xml:space="preserve">Semaglutide India launches on time; US remains a 3-5 year story</w:t>
      </w:r>
    </w:p>
    <w:p>
      <w:pPr>
        <w:pStyle w:val="ListParagraph"/>
        <w:numPr>
          <w:ilvl w:val="0"/>
          <w:numId w:val="2"/>
        </w:numPr>
        <w:spacing w:after="80" w:line="276"/>
      </w:pPr>
      <w:r>
        <w:rPr>
          <w:rFonts w:ascii="Arial" w:cs="Arial" w:eastAsia="Arial" w:hAnsi="Arial"/>
          <w:color w:val="333333"/>
          <w:sz w:val="22"/>
          <w:szCs w:val="22"/>
        </w:rPr>
        <w:t xml:space="preserve">1-2 Para IV launches per year, 10-15% base growth</w:t>
      </w:r>
    </w:p>
    <w:p>
      <w:pPr>
        <w:pStyle w:val="ListParagraph"/>
        <w:numPr>
          <w:ilvl w:val="0"/>
          <w:numId w:val="2"/>
        </w:numPr>
        <w:spacing w:after="80" w:line="276"/>
      </w:pPr>
      <w:r>
        <w:rPr>
          <w:rFonts w:ascii="Arial" w:cs="Arial" w:eastAsia="Arial" w:hAnsi="Arial"/>
          <w:color w:val="333333"/>
          <w:sz w:val="22"/>
          <w:szCs w:val="22"/>
        </w:rPr>
        <w:t xml:space="preserve">Adcock contributes INR 140-180 Cr PAT annually (post-amortization)</w:t>
      </w:r>
    </w:p>
    <w:p>
      <w:pPr>
        <w:pStyle w:val="ListParagraph"/>
        <w:numPr>
          <w:ilvl w:val="0"/>
          <w:numId w:val="2"/>
        </w:numPr>
        <w:spacing w:after="80" w:line="276"/>
      </w:pPr>
      <w:r>
        <w:rPr>
          <w:rFonts w:ascii="Arial" w:cs="Arial" w:eastAsia="Arial" w:hAnsi="Arial"/>
          <w:color w:val="333333"/>
          <w:sz w:val="22"/>
          <w:szCs w:val="22"/>
        </w:rPr>
        <w:t xml:space="preserve">FY28 PAT: INR 950-1,100 Cr</w:t>
      </w:r>
    </w:p>
    <w:p>
      <w:pPr>
        <w:pStyle w:val="Heading2"/>
        <w:spacing w:before="280" w:after="160"/>
      </w:pPr>
      <w:r>
        <w:rPr>
          <w:rFonts w:ascii="Arial" w:cs="Arial" w:eastAsia="Arial" w:hAnsi="Arial"/>
        </w:rPr>
        <w:t xml:space="preserve">Bear Case</w:t>
      </w:r>
    </w:p>
    <w:p>
      <w:pPr>
        <w:pStyle w:val="ListParagraph"/>
        <w:numPr>
          <w:ilvl w:val="0"/>
          <w:numId w:val="2"/>
        </w:numPr>
        <w:spacing w:after="80" w:line="276"/>
      </w:pPr>
      <w:r>
        <w:rPr>
          <w:rFonts w:ascii="Arial" w:cs="Arial" w:eastAsia="Arial" w:hAnsi="Arial"/>
          <w:color w:val="333333"/>
          <w:sz w:val="22"/>
          <w:szCs w:val="22"/>
        </w:rPr>
        <w:t xml:space="preserve">FDA issues at Chennai/Vizag block new approvals for 12-18 months</w:t>
      </w:r>
    </w:p>
    <w:p>
      <w:pPr>
        <w:pStyle w:val="ListParagraph"/>
        <w:numPr>
          <w:ilvl w:val="0"/>
          <w:numId w:val="2"/>
        </w:numPr>
        <w:spacing w:after="80" w:line="276"/>
      </w:pPr>
      <w:r>
        <w:rPr>
          <w:rFonts w:ascii="Arial" w:cs="Arial" w:eastAsia="Arial" w:hAnsi="Arial"/>
          <w:color w:val="333333"/>
          <w:sz w:val="22"/>
          <w:szCs w:val="22"/>
        </w:rPr>
        <w:t xml:space="preserve">Semaglutide India launch delayed beyond FY27; US patent wall proves impenetrable</w:t>
      </w:r>
    </w:p>
    <w:p>
      <w:pPr>
        <w:pStyle w:val="ListParagraph"/>
        <w:numPr>
          <w:ilvl w:val="0"/>
          <w:numId w:val="2"/>
        </w:numPr>
        <w:spacing w:after="80" w:line="276"/>
      </w:pPr>
      <w:r>
        <w:rPr>
          <w:rFonts w:ascii="Arial" w:cs="Arial" w:eastAsia="Arial" w:hAnsi="Arial"/>
          <w:color w:val="333333"/>
          <w:sz w:val="22"/>
          <w:szCs w:val="22"/>
        </w:rPr>
        <w:t xml:space="preserve">Olaparib litigation goes adversely; multiple Para IV challenges fail</w:t>
      </w:r>
    </w:p>
    <w:p>
      <w:pPr>
        <w:pStyle w:val="ListParagraph"/>
        <w:numPr>
          <w:ilvl w:val="0"/>
          <w:numId w:val="2"/>
        </w:numPr>
        <w:spacing w:after="80" w:line="276"/>
      </w:pPr>
      <w:r>
        <w:rPr>
          <w:rFonts w:ascii="Arial" w:cs="Arial" w:eastAsia="Arial" w:hAnsi="Arial"/>
          <w:color w:val="333333"/>
          <w:sz w:val="22"/>
          <w:szCs w:val="22"/>
        </w:rPr>
        <w:t xml:space="preserve">Overpay on M&amp;A in an unfamiliar geography</w:t>
      </w:r>
    </w:p>
    <w:p>
      <w:pPr>
        <w:pStyle w:val="ListParagraph"/>
        <w:numPr>
          <w:ilvl w:val="0"/>
          <w:numId w:val="2"/>
        </w:numPr>
        <w:spacing w:after="80" w:line="276"/>
      </w:pPr>
      <w:r>
        <w:rPr>
          <w:rFonts w:ascii="Arial" w:cs="Arial" w:eastAsia="Arial" w:hAnsi="Arial"/>
          <w:color w:val="333333"/>
          <w:sz w:val="22"/>
          <w:szCs w:val="22"/>
        </w:rPr>
        <w:t xml:space="preserve">FY28 PAT drops to INR 600-700 Cr, stock de-rates to historical trough multiples</w:t>
      </w:r>
    </w:p>
    <w:p>
      <w:r>
        <w:br w:type="page"/>
      </w:r>
    </w:p>
    <w:p>
      <w:pPr>
        <w:pStyle w:val="Heading1"/>
        <w:spacing w:before="360" w:after="200"/>
      </w:pPr>
      <w:r>
        <w:rPr>
          <w:rFonts w:ascii="Arial" w:cs="Arial" w:eastAsia="Arial" w:hAnsi="Arial"/>
        </w:rPr>
        <w:t xml:space="preserve">8. Valuation Framework</w:t>
      </w:r>
    </w:p>
    <w:p>
      <w:pPr>
        <w:spacing w:after="160" w:line="276"/>
      </w:pPr>
      <w:r>
        <w:rPr>
          <w:rFonts w:ascii="Arial" w:cs="Arial" w:eastAsia="Arial" w:hAnsi="Arial"/>
          <w:color w:val="333333"/>
          <w:sz w:val="22"/>
          <w:szCs w:val="22"/>
        </w:rPr>
        <w:t xml:space="preserve">Given the transitional nature of FY26-27, valuation should be done on FY28E earnings when the new base business is established: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560"/>
        <w:gridCol w:w="2200"/>
        <w:gridCol w:w="2200"/>
      </w:tblGrid>
      <w:tr>
        <w:tc>
          <w:tcPr>
            <w:tcW w:type="dxa" w:w="16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Scenario</w:t>
            </w:r>
          </w:p>
        </w:tc>
        <w:tc>
          <w:tcPr>
            <w:tcW w:type="dxa" w:w="18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FY28E PAT (Cr)</w:t>
            </w:r>
          </w:p>
        </w:tc>
        <w:tc>
          <w:tcPr>
            <w:tcW w:type="dxa" w:w="156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 Multiple</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Market Cap (Cr)</w:t>
            </w:r>
          </w:p>
        </w:tc>
        <w:tc>
          <w:tcPr>
            <w:tcW w:type="dxa" w:w="2200"/>
            <w:tcBorders>
              <w:top w:val="single" w:color="1F4E79" w:sz="1"/>
              <w:left w:val="single" w:color="1F4E79" w:sz="1"/>
              <w:bottom w:val="single" w:color="1F4E79" w:sz="1"/>
              <w:right w:val="single" w:color="1F4E79" w:sz="1"/>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Price/Share (INR)</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Bull Case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1,200-1,500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25-30x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30,000-45,000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1,667-2,500</w:t>
            </w:r>
          </w:p>
        </w:tc>
      </w:tr>
      <w:tr>
        <w:tc>
          <w:tcPr>
            <w:tcW w:type="dxa" w:w="16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Base Case</w:t>
            </w:r>
          </w:p>
        </w:tc>
        <w:tc>
          <w:tcPr>
            <w:tcW w:type="dxa" w:w="18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950-1,100</w:t>
            </w:r>
          </w:p>
        </w:tc>
        <w:tc>
          <w:tcPr>
            <w:tcW w:type="dxa" w:w="156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22-25x</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20,900-27,500</w:t>
            </w:r>
          </w:p>
        </w:tc>
        <w:tc>
          <w:tcPr>
            <w:tcW w:type="dxa" w:w="2200"/>
            <w:tcBorders>
              <w:top w:val="single" w:color="CCCCCC" w:sz="1"/>
              <w:left w:val="single" w:color="CCCCCC" w:sz="1"/>
              <w:bottom w:val="single" w:color="CCCCCC" w:sz="1"/>
              <w:right w:val="single" w:color="CCCCCC" w:sz="1"/>
            </w:tcBorders>
            <w:shd w:fill="F2F7FB" w:val="clear"/>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1,161-1,528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333333"/>
                <w:sz w:val="20"/>
                <w:szCs w:val="20"/>
              </w:rPr>
              <w:t xml:space="preserve">Bear Case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600-700</w:t>
            </w:r>
          </w:p>
        </w:tc>
        <w:tc>
          <w:tcPr>
            <w:tcW w:type="dxa" w:w="1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18-20x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10,800-14,000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center"/>
            </w:pPr>
            <w:r>
              <w:rPr>
                <w:rFonts w:ascii="Arial" w:cs="Arial" w:eastAsia="Arial" w:hAnsi="Arial"/>
                <w:b w:val="false"/>
                <w:bCs w:val="false"/>
                <w:color w:val="333333"/>
                <w:sz w:val="20"/>
                <w:szCs w:val="20"/>
              </w:rPr>
              <w:t xml:space="preserve">600-778</w:t>
            </w:r>
          </w:p>
        </w:tc>
      </w:tr>
    </w:tbl>
    <w:p>
      <w:pPr>
        <w:spacing w:after="160" w:line="276"/>
      </w:pPr>
      <w:r>
        <w:rPr>
          <w:rFonts w:ascii="Arial" w:cs="Arial" w:eastAsia="Arial" w:hAnsi="Arial"/>
          <w:i/>
          <w:iCs/>
          <w:color w:val="333333"/>
          <w:sz w:val="22"/>
          <w:szCs w:val="22"/>
        </w:rPr>
        <w:t xml:space="preserve">Note: Share count assumed at ~18 crore shares. PE multiples are assigned based on growth trajectory, pipeline visibility, and peer comparisons in the Indian generics space. Companies with strong Para IV pipelines and geographic diversification typically command 22-28x forward earnings.</w:t>
      </w:r>
    </w:p>
    <w:p>
      <w:pPr>
        <w:pBdr>
          <w:bottom w:val="single" w:color="1F4E79" w:sz="6" w:space="1"/>
        </w:pBdr>
        <w:spacing w:before="400"/>
      </w:pPr>
    </w:p>
    <w:p>
      <w:pPr>
        <w:spacing w:before="200" w:after="100"/>
        <w:jc w:val="center"/>
      </w:pPr>
      <w:r>
        <w:rPr>
          <w:rFonts w:ascii="Arial" w:cs="Arial" w:eastAsia="Arial" w:hAnsi="Arial"/>
          <w:i/>
          <w:iCs/>
          <w:color w:val="999999"/>
          <w:sz w:val="18"/>
          <w:szCs w:val="18"/>
        </w:rPr>
        <w:t xml:space="preserve">Disclaimer: This analysis is based solely on publicly available earnings call transcripts and is for informational purposes only. It does not constitute investment advice. Please consult your financial advisor before making investment decisions.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rFonts w:ascii="Arial" w:cs="Arial" w:eastAsia="Arial" w:hAnsi="Arial"/>
        <w:i/>
        <w:iCs/>
        <w:color w:val="999999"/>
        <w:sz w:val="16"/>
        <w:szCs w:val="16"/>
      </w:rPr>
      <w:t xml:space="preserve">Natco Pharma Ltd - Equity Research</w:t>
    </w:r>
    <w:r>
      <w:rPr>
        <w:rFonts w:ascii="Arial" w:cs="Arial" w:eastAsia="Arial" w:hAnsi="Arial"/>
        <w:i/>
        <w:iCs/>
        <w:color w:val="999999"/>
        <w:sz w:val="16"/>
        <w:szCs w:val="16"/>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2026-03-12T16:22:44.545Z</dcterms:created>
  <dcterms:modified xsi:type="dcterms:W3CDTF">2026-03-12T16:22:44.545Z</dcterms:modified>
</cp:coreProperties>
</file>

<file path=docProps/custom.xml><?xml version="1.0" encoding="utf-8"?>
<Properties xmlns="http://schemas.openxmlformats.org/officeDocument/2006/custom-properties" xmlns:vt="http://schemas.openxmlformats.org/officeDocument/2006/docPropsVTypes"/>
</file>