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F3864"/>
          <w:sz w:val="52"/>
        </w:rPr>
        <w:t>TENNECO CLEAN AIR INDIA LIMITED</w:t>
      </w:r>
    </w:p>
    <w:p>
      <w:pPr>
        <w:jc w:val="center"/>
      </w:pPr>
      <w:r>
        <w:rPr>
          <w:color w:val="666666"/>
          <w:sz w:val="24"/>
        </w:rPr>
        <w:t>NSE: TENNIND  |  BSE: 544612</w:t>
      </w:r>
    </w:p>
    <w:p/>
    <w:p>
      <w:pPr>
        <w:jc w:val="center"/>
      </w:pPr>
      <w:r>
        <w:rPr>
          <w:rFonts w:ascii="Arial" w:hAnsi="Arial"/>
          <w:color w:val="2E75B6"/>
          <w:sz w:val="36"/>
        </w:rPr>
        <w:t>Comprehensive Company Analysis</w:t>
      </w:r>
    </w:p>
    <w:p>
      <w:pPr>
        <w:jc w:val="center"/>
      </w:pPr>
      <w:r>
        <w:rPr>
          <w:color w:val="666666"/>
          <w:sz w:val="22"/>
        </w:rPr>
        <w:t>Based on Q2 FY26 &amp; Q3 FY26 Earnings Call Transcripts</w:t>
      </w:r>
    </w:p>
    <w:p/>
    <w:p>
      <w:pPr>
        <w:jc w:val="center"/>
      </w:pPr>
      <w:r>
        <w:rPr>
          <w:color w:val="999999"/>
          <w:sz w:val="22"/>
        </w:rPr>
        <w:t>March 2026</w:t>
      </w:r>
    </w:p>
    <w:p>
      <w:r>
        <w:br w:type="page"/>
      </w:r>
    </w:p>
    <w:p>
      <w:pPr>
        <w:pStyle w:val="Heading1"/>
      </w:pPr>
      <w:r>
        <w:t>1. Business Model Overview</w:t>
      </w:r>
    </w:p>
    <w:p>
      <w:r>
        <w:t>Tenneco Clean Air India Limited is the Indian arm of the global Tenneco group, now owned by Apollo Global Management. Listed in H2 FY26 with a blockbuster IPO (61x oversubscribed), the company engineers and manufactures critical automotive components across two integrated business pillars.</w:t>
      </w:r>
    </w:p>
    <w:p>
      <w:pPr>
        <w:pStyle w:val="Heading2"/>
      </w:pPr>
      <w:r>
        <w:t>Pillar 1: Clean Air and Powertrain Solutions (~47-48% of VAR)</w:t>
      </w:r>
    </w:p>
    <w:p>
      <w:r>
        <w:t>This segment manufactures exhaust aftertreatment systems, catalytic converters, diesel particulate filters (DPF), gasoline particulate filters (GPF), SCR mixers, end-cones, and hydro-formed parts. They serve commercial truck OEMs (57% market share), off-highway/tractor OEMs (68% market share), and are steadily growing in passenger vehicle clean air. The business benefits from every tightening of emission norms (BS6.2, TREM 5, CAFE, BS7) as each regulatory step increases content per vehicle.</w:t>
      </w:r>
    </w:p>
    <w:p>
      <w:pPr>
        <w:pStyle w:val="Heading2"/>
      </w:pPr>
      <w:r>
        <w:t>Pillar 2: Advanced Ride Technologies (~52-53% of VAR)</w:t>
      </w:r>
    </w:p>
    <w:p>
      <w:r>
        <w:t>This is the faster-growing segment. Tenneco is the number one supplier of shock absorbers for passenger vehicles in India with 52% market share (up from 48% at DRHP stage). The technology roadmap moves from conventional shock absorbers to frequency-dependent damping (DaVinci DCx) to semi-active and eventually fully active suspension systems. Each step up the technology ladder increases content per vehicle and margin for Tenneco.</w:t>
      </w:r>
    </w:p>
    <w:p>
      <w:pPr>
        <w:pStyle w:val="Heading2"/>
      </w:pPr>
      <w:r>
        <w:t>Revenue Model Characteristics</w:t>
      </w:r>
    </w:p>
    <w:p>
      <w:pPr>
        <w:pStyle w:val="ListBullet"/>
      </w:pPr>
      <w:r>
        <w:t>Value Added Revenue (VAR) is the primary metric as substrate/precious metal costs are a pass-through and don't impact EBITDA.</w:t>
      </w:r>
    </w:p>
    <w:p>
      <w:pPr>
        <w:pStyle w:val="ListBullet"/>
      </w:pPr>
      <w:r>
        <w:t>Long-duration OEM relationships averaging 20 years provide revenue stickiness.</w:t>
      </w:r>
    </w:p>
    <w:p>
      <w:pPr>
        <w:pStyle w:val="ListBullet"/>
      </w:pPr>
      <w:r>
        <w:t>Operates 12 plants and 2 R&amp;D centers close to OEM bases, creating strong supplier lock-in.</w:t>
      </w:r>
    </w:p>
    <w:p>
      <w:pPr>
        <w:pStyle w:val="ListBullet"/>
      </w:pPr>
      <w:r>
        <w:t>Royalty of 2.5% of revenue paid to parent Tenneco group in exchange for access to 5,000+ patents and global R&amp;D.</w:t>
      </w:r>
    </w:p>
    <w:p>
      <w:pPr>
        <w:pStyle w:val="ListBullet"/>
      </w:pPr>
      <w:r>
        <w:t>Debt-free balance sheet, negative cash conversion cycle (negative 22 days in H1 FY26), and ROCE exceeding 80%.</w:t>
      </w:r>
    </w:p>
    <w:p>
      <w:pPr>
        <w:pStyle w:val="ListBullet"/>
      </w:pPr>
      <w:r>
        <w:t>Capacity utilization at 90%+, with a new greenfield plant approved at Kharkhoda, Haryana.</w:t>
      </w:r>
    </w:p>
    <w:p>
      <w:r>
        <w:br w:type="page"/>
      </w:r>
    </w:p>
    <w:p>
      <w:pPr>
        <w:pStyle w:val="Heading1"/>
      </w:pPr>
      <w:r>
        <w:t>2. Financial Snapshot</w:t>
      </w:r>
    </w:p>
    <w:p>
      <w:pPr>
        <w:pStyle w:val="Heading2"/>
      </w:pPr>
      <w:r>
        <w:t>Q3 FY26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fill="1F3864" w:val="clear"/>
          </w:tcPr>
          <w:p>
            <w:r/>
            <w:r>
              <w:rPr>
                <w:rFonts w:ascii="Arial" w:hAnsi="Arial"/>
                <w:b/>
                <w:color w:val="FFFFFF"/>
                <w:sz w:val="20"/>
              </w:rPr>
              <w:t>Metric</w:t>
            </w:r>
          </w:p>
        </w:tc>
        <w:tc>
          <w:tcPr>
            <w:tcW w:type="dxa" w:w="2592"/>
            <w:shd w:fill="1F3864" w:val="clear"/>
          </w:tcPr>
          <w:p>
            <w:r/>
            <w:r>
              <w:rPr>
                <w:rFonts w:ascii="Arial" w:hAnsi="Arial"/>
                <w:b/>
                <w:color w:val="FFFFFF"/>
                <w:sz w:val="20"/>
              </w:rPr>
              <w:t>Q3 FY26</w:t>
            </w:r>
          </w:p>
        </w:tc>
        <w:tc>
          <w:tcPr>
            <w:tcW w:type="dxa" w:w="2592"/>
            <w:shd w:fill="1F3864" w:val="clear"/>
          </w:tcPr>
          <w:p>
            <w:r/>
            <w:r>
              <w:rPr>
                <w:rFonts w:ascii="Arial" w:hAnsi="Arial"/>
                <w:b/>
                <w:color w:val="FFFFFF"/>
                <w:sz w:val="20"/>
              </w:rPr>
              <w:t>YoY Growth</w:t>
            </w:r>
          </w:p>
        </w:tc>
      </w:tr>
      <w:tr>
        <w:tc>
          <w:tcPr>
            <w:tcW w:type="dxa" w:w="4032"/>
            <w:shd w:fill="F2F7FB" w:val="clear"/>
          </w:tcPr>
          <w:p>
            <w:r/>
            <w:r>
              <w:rPr>
                <w:rFonts w:ascii="Arial" w:hAnsi="Arial"/>
                <w:b/>
                <w:sz w:val="20"/>
              </w:rPr>
              <w:t>Revenue from Operations</w:t>
            </w:r>
          </w:p>
        </w:tc>
        <w:tc>
          <w:tcPr>
            <w:tcW w:type="dxa" w:w="2592"/>
            <w:shd w:fill="F2F7FB" w:val="clear"/>
          </w:tcPr>
          <w:p>
            <w:pPr>
              <w:jc w:val="right"/>
            </w:pPr>
            <w:r/>
            <w:r>
              <w:rPr>
                <w:rFonts w:ascii="Arial" w:hAnsi="Arial"/>
                <w:sz w:val="20"/>
              </w:rPr>
              <w:t>INR 12,853 Mn</w:t>
            </w:r>
          </w:p>
        </w:tc>
        <w:tc>
          <w:tcPr>
            <w:tcW w:type="dxa" w:w="2592"/>
            <w:shd w:fill="F2F7FB" w:val="clear"/>
          </w:tcPr>
          <w:p>
            <w:pPr>
              <w:jc w:val="right"/>
            </w:pPr>
            <w:r/>
            <w:r>
              <w:rPr>
                <w:rFonts w:ascii="Arial" w:hAnsi="Arial"/>
                <w:sz w:val="20"/>
              </w:rPr>
              <w:t>14.2%</w:t>
            </w:r>
          </w:p>
        </w:tc>
      </w:tr>
      <w:tr>
        <w:tc>
          <w:tcPr>
            <w:tcW w:type="dxa" w:w="4032"/>
          </w:tcPr>
          <w:p>
            <w:r/>
            <w:r>
              <w:rPr>
                <w:rFonts w:ascii="Arial" w:hAnsi="Arial"/>
                <w:b/>
                <w:sz w:val="20"/>
              </w:rPr>
              <w:t>Value Added Revenue (VAR)</w:t>
            </w:r>
          </w:p>
        </w:tc>
        <w:tc>
          <w:tcPr>
            <w:tcW w:type="dxa" w:w="2592"/>
          </w:tcPr>
          <w:p>
            <w:pPr>
              <w:jc w:val="right"/>
            </w:pPr>
            <w:r/>
            <w:r>
              <w:rPr>
                <w:rFonts w:ascii="Arial" w:hAnsi="Arial"/>
                <w:sz w:val="20"/>
              </w:rPr>
              <w:t>INR 11,941 Mn</w:t>
            </w:r>
          </w:p>
        </w:tc>
        <w:tc>
          <w:tcPr>
            <w:tcW w:type="dxa" w:w="2592"/>
          </w:tcPr>
          <w:p>
            <w:pPr>
              <w:jc w:val="right"/>
            </w:pPr>
            <w:r/>
            <w:r>
              <w:rPr>
                <w:rFonts w:ascii="Arial" w:hAnsi="Arial"/>
                <w:sz w:val="20"/>
              </w:rPr>
              <w:t>14.7%</w:t>
            </w:r>
          </w:p>
        </w:tc>
      </w:tr>
      <w:tr>
        <w:tc>
          <w:tcPr>
            <w:tcW w:type="dxa" w:w="4032"/>
            <w:shd w:fill="F2F7FB" w:val="clear"/>
          </w:tcPr>
          <w:p>
            <w:r/>
            <w:r>
              <w:rPr>
                <w:rFonts w:ascii="Arial" w:hAnsi="Arial"/>
                <w:b/>
                <w:sz w:val="20"/>
              </w:rPr>
              <w:t>Clean Air &amp; Powertrain VAR</w:t>
            </w:r>
          </w:p>
        </w:tc>
        <w:tc>
          <w:tcPr>
            <w:tcW w:type="dxa" w:w="2592"/>
            <w:shd w:fill="F2F7FB" w:val="clear"/>
          </w:tcPr>
          <w:p>
            <w:pPr>
              <w:jc w:val="right"/>
            </w:pPr>
            <w:r/>
            <w:r>
              <w:rPr>
                <w:rFonts w:ascii="Arial" w:hAnsi="Arial"/>
                <w:sz w:val="20"/>
              </w:rPr>
              <w:t>INR 5,644 Mn</w:t>
            </w:r>
          </w:p>
        </w:tc>
        <w:tc>
          <w:tcPr>
            <w:tcW w:type="dxa" w:w="2592"/>
            <w:shd w:fill="F2F7FB" w:val="clear"/>
          </w:tcPr>
          <w:p>
            <w:pPr>
              <w:jc w:val="right"/>
            </w:pPr>
            <w:r/>
            <w:r>
              <w:rPr>
                <w:rFonts w:ascii="Arial" w:hAnsi="Arial"/>
                <w:sz w:val="20"/>
              </w:rPr>
              <w:t>5.4%</w:t>
            </w:r>
          </w:p>
        </w:tc>
      </w:tr>
      <w:tr>
        <w:tc>
          <w:tcPr>
            <w:tcW w:type="dxa" w:w="4032"/>
          </w:tcPr>
          <w:p>
            <w:r/>
            <w:r>
              <w:rPr>
                <w:rFonts w:ascii="Arial" w:hAnsi="Arial"/>
                <w:b/>
                <w:sz w:val="20"/>
              </w:rPr>
              <w:t>Advanced Ride Tech VAR</w:t>
            </w:r>
          </w:p>
        </w:tc>
        <w:tc>
          <w:tcPr>
            <w:tcW w:type="dxa" w:w="2592"/>
          </w:tcPr>
          <w:p>
            <w:pPr>
              <w:jc w:val="right"/>
            </w:pPr>
            <w:r/>
            <w:r>
              <w:rPr>
                <w:rFonts w:ascii="Arial" w:hAnsi="Arial"/>
                <w:sz w:val="20"/>
              </w:rPr>
              <w:t>INR 6,297 Mn</w:t>
            </w:r>
          </w:p>
        </w:tc>
        <w:tc>
          <w:tcPr>
            <w:tcW w:type="dxa" w:w="2592"/>
          </w:tcPr>
          <w:p>
            <w:pPr>
              <w:jc w:val="right"/>
            </w:pPr>
            <w:r/>
            <w:r>
              <w:rPr>
                <w:rFonts w:ascii="Arial" w:hAnsi="Arial"/>
                <w:sz w:val="20"/>
              </w:rPr>
              <w:t>24.5%</w:t>
            </w:r>
          </w:p>
        </w:tc>
      </w:tr>
      <w:tr>
        <w:tc>
          <w:tcPr>
            <w:tcW w:type="dxa" w:w="4032"/>
            <w:shd w:fill="F2F7FB" w:val="clear"/>
          </w:tcPr>
          <w:p>
            <w:r/>
            <w:r>
              <w:rPr>
                <w:rFonts w:ascii="Arial" w:hAnsi="Arial"/>
                <w:b/>
                <w:sz w:val="20"/>
              </w:rPr>
              <w:t>EBITDA</w:t>
            </w:r>
          </w:p>
        </w:tc>
        <w:tc>
          <w:tcPr>
            <w:tcW w:type="dxa" w:w="2592"/>
            <w:shd w:fill="F2F7FB" w:val="clear"/>
          </w:tcPr>
          <w:p>
            <w:pPr>
              <w:jc w:val="right"/>
            </w:pPr>
            <w:r/>
            <w:r>
              <w:rPr>
                <w:rFonts w:ascii="Arial" w:hAnsi="Arial"/>
                <w:sz w:val="20"/>
              </w:rPr>
              <w:t>INR 2,225 Mn</w:t>
            </w:r>
          </w:p>
        </w:tc>
        <w:tc>
          <w:tcPr>
            <w:tcW w:type="dxa" w:w="2592"/>
            <w:shd w:fill="F2F7FB" w:val="clear"/>
          </w:tcPr>
          <w:p>
            <w:pPr>
              <w:jc w:val="right"/>
            </w:pPr>
            <w:r/>
            <w:r>
              <w:rPr>
                <w:rFonts w:ascii="Arial" w:hAnsi="Arial"/>
                <w:sz w:val="20"/>
              </w:rPr>
              <w:t>24.8%</w:t>
            </w:r>
          </w:p>
        </w:tc>
      </w:tr>
      <w:tr>
        <w:tc>
          <w:tcPr>
            <w:tcW w:type="dxa" w:w="4032"/>
          </w:tcPr>
          <w:p>
            <w:r/>
            <w:r>
              <w:rPr>
                <w:rFonts w:ascii="Arial" w:hAnsi="Arial"/>
                <w:b/>
                <w:sz w:val="20"/>
              </w:rPr>
              <w:t>EBITDA Margin (on VAR)</w:t>
            </w:r>
          </w:p>
        </w:tc>
        <w:tc>
          <w:tcPr>
            <w:tcW w:type="dxa" w:w="2592"/>
          </w:tcPr>
          <w:p>
            <w:pPr>
              <w:jc w:val="right"/>
            </w:pPr>
            <w:r/>
            <w:r>
              <w:rPr>
                <w:rFonts w:ascii="Arial" w:hAnsi="Arial"/>
                <w:sz w:val="20"/>
              </w:rPr>
              <w:t>18.6%</w:t>
            </w:r>
          </w:p>
        </w:tc>
        <w:tc>
          <w:tcPr>
            <w:tcW w:type="dxa" w:w="2592"/>
          </w:tcPr>
          <w:p>
            <w:pPr>
              <w:jc w:val="right"/>
            </w:pPr>
            <w:r/>
            <w:r>
              <w:rPr>
                <w:rFonts w:ascii="Arial" w:hAnsi="Arial"/>
                <w:sz w:val="20"/>
              </w:rPr>
              <w:t>-</w:t>
            </w:r>
          </w:p>
        </w:tc>
      </w:tr>
      <w:tr>
        <w:tc>
          <w:tcPr>
            <w:tcW w:type="dxa" w:w="4032"/>
            <w:shd w:fill="F2F7FB" w:val="clear"/>
          </w:tcPr>
          <w:p>
            <w:r/>
            <w:r>
              <w:rPr>
                <w:rFonts w:ascii="Arial" w:hAnsi="Arial"/>
                <w:b/>
                <w:sz w:val="20"/>
              </w:rPr>
              <w:t>PAT (reported)</w:t>
            </w:r>
          </w:p>
        </w:tc>
        <w:tc>
          <w:tcPr>
            <w:tcW w:type="dxa" w:w="2592"/>
            <w:shd w:fill="F2F7FB" w:val="clear"/>
          </w:tcPr>
          <w:p>
            <w:pPr>
              <w:jc w:val="right"/>
            </w:pPr>
            <w:r/>
            <w:r>
              <w:rPr>
                <w:rFonts w:ascii="Arial" w:hAnsi="Arial"/>
                <w:sz w:val="20"/>
              </w:rPr>
              <w:t>INR 1,188 Mn</w:t>
            </w:r>
          </w:p>
        </w:tc>
        <w:tc>
          <w:tcPr>
            <w:tcW w:type="dxa" w:w="2592"/>
            <w:shd w:fill="F2F7FB" w:val="clear"/>
          </w:tcPr>
          <w:p>
            <w:pPr>
              <w:jc w:val="right"/>
            </w:pPr>
            <w:r/>
            <w:r>
              <w:rPr>
                <w:rFonts w:ascii="Arial" w:hAnsi="Arial"/>
                <w:sz w:val="20"/>
              </w:rPr>
              <w:t>-</w:t>
            </w:r>
          </w:p>
        </w:tc>
      </w:tr>
      <w:tr>
        <w:tc>
          <w:tcPr>
            <w:tcW w:type="dxa" w:w="4032"/>
          </w:tcPr>
          <w:p>
            <w:r/>
            <w:r>
              <w:rPr>
                <w:rFonts w:ascii="Arial" w:hAnsi="Arial"/>
                <w:b/>
                <w:sz w:val="20"/>
              </w:rPr>
              <w:t>PAT (adj, ex-labour code)</w:t>
            </w:r>
          </w:p>
        </w:tc>
        <w:tc>
          <w:tcPr>
            <w:tcW w:type="dxa" w:w="2592"/>
          </w:tcPr>
          <w:p>
            <w:pPr>
              <w:jc w:val="right"/>
            </w:pPr>
            <w:r/>
            <w:r>
              <w:rPr>
                <w:rFonts w:ascii="Arial" w:hAnsi="Arial"/>
                <w:sz w:val="20"/>
              </w:rPr>
              <w:t>INR 1,391 Mn (11.7%)</w:t>
            </w:r>
          </w:p>
        </w:tc>
        <w:tc>
          <w:tcPr>
            <w:tcW w:type="dxa" w:w="2592"/>
          </w:tcPr>
          <w:p>
            <w:pPr>
              <w:jc w:val="right"/>
            </w:pPr>
            <w:r/>
            <w:r>
              <w:rPr>
                <w:rFonts w:ascii="Arial" w:hAnsi="Arial"/>
                <w:sz w:val="20"/>
              </w:rPr>
              <w:t>-</w:t>
            </w:r>
          </w:p>
        </w:tc>
      </w:tr>
    </w:tbl>
    <w:p/>
    <w:p>
      <w:pPr>
        <w:pStyle w:val="Heading2"/>
      </w:pPr>
      <w:r>
        <w:t>9M FY26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fill="1F3864" w:val="clear"/>
          </w:tcPr>
          <w:p>
            <w:r/>
            <w:r>
              <w:rPr>
                <w:rFonts w:ascii="Arial" w:hAnsi="Arial"/>
                <w:b/>
                <w:color w:val="FFFFFF"/>
                <w:sz w:val="20"/>
              </w:rPr>
              <w:t>Metric</w:t>
            </w:r>
          </w:p>
        </w:tc>
        <w:tc>
          <w:tcPr>
            <w:tcW w:type="dxa" w:w="2592"/>
            <w:shd w:fill="1F3864" w:val="clear"/>
          </w:tcPr>
          <w:p>
            <w:r/>
            <w:r>
              <w:rPr>
                <w:rFonts w:ascii="Arial" w:hAnsi="Arial"/>
                <w:b/>
                <w:color w:val="FFFFFF"/>
                <w:sz w:val="20"/>
              </w:rPr>
              <w:t>9M FY26</w:t>
            </w:r>
          </w:p>
        </w:tc>
        <w:tc>
          <w:tcPr>
            <w:tcW w:type="dxa" w:w="2592"/>
            <w:shd w:fill="1F3864" w:val="clear"/>
          </w:tcPr>
          <w:p>
            <w:r/>
            <w:r>
              <w:rPr>
                <w:rFonts w:ascii="Arial" w:hAnsi="Arial"/>
                <w:b/>
                <w:color w:val="FFFFFF"/>
                <w:sz w:val="20"/>
              </w:rPr>
              <w:t>YoY Growth</w:t>
            </w:r>
          </w:p>
        </w:tc>
      </w:tr>
      <w:tr>
        <w:tc>
          <w:tcPr>
            <w:tcW w:type="dxa" w:w="4032"/>
            <w:shd w:fill="F2F7FB" w:val="clear"/>
          </w:tcPr>
          <w:p>
            <w:r/>
            <w:r>
              <w:rPr>
                <w:rFonts w:ascii="Arial" w:hAnsi="Arial"/>
                <w:b/>
                <w:sz w:val="20"/>
              </w:rPr>
              <w:t>Revenue from Operations</w:t>
            </w:r>
          </w:p>
        </w:tc>
        <w:tc>
          <w:tcPr>
            <w:tcW w:type="dxa" w:w="2592"/>
            <w:shd w:fill="F2F7FB" w:val="clear"/>
          </w:tcPr>
          <w:p>
            <w:pPr>
              <w:jc w:val="right"/>
            </w:pPr>
            <w:r/>
            <w:r>
              <w:rPr>
                <w:rFonts w:ascii="Arial" w:hAnsi="Arial"/>
                <w:sz w:val="20"/>
              </w:rPr>
              <w:t>INR 38,515 Mn</w:t>
            </w:r>
          </w:p>
        </w:tc>
        <w:tc>
          <w:tcPr>
            <w:tcW w:type="dxa" w:w="2592"/>
            <w:shd w:fill="F2F7FB" w:val="clear"/>
          </w:tcPr>
          <w:p>
            <w:pPr>
              <w:jc w:val="right"/>
            </w:pPr>
            <w:r/>
            <w:r>
              <w:rPr>
                <w:rFonts w:ascii="Arial" w:hAnsi="Arial"/>
                <w:sz w:val="20"/>
              </w:rPr>
              <w:t>8.1%</w:t>
            </w:r>
          </w:p>
        </w:tc>
      </w:tr>
      <w:tr>
        <w:tc>
          <w:tcPr>
            <w:tcW w:type="dxa" w:w="4032"/>
          </w:tcPr>
          <w:p>
            <w:r/>
            <w:r>
              <w:rPr>
                <w:rFonts w:ascii="Arial" w:hAnsi="Arial"/>
                <w:b/>
                <w:sz w:val="20"/>
              </w:rPr>
              <w:t>Value Added Revenue</w:t>
            </w:r>
          </w:p>
        </w:tc>
        <w:tc>
          <w:tcPr>
            <w:tcW w:type="dxa" w:w="2592"/>
          </w:tcPr>
          <w:p>
            <w:pPr>
              <w:jc w:val="right"/>
            </w:pPr>
            <w:r/>
            <w:r>
              <w:rPr>
                <w:rFonts w:ascii="Arial" w:hAnsi="Arial"/>
                <w:sz w:val="20"/>
              </w:rPr>
              <w:t>INR 35,122 Mn</w:t>
            </w:r>
          </w:p>
        </w:tc>
        <w:tc>
          <w:tcPr>
            <w:tcW w:type="dxa" w:w="2592"/>
          </w:tcPr>
          <w:p>
            <w:pPr>
              <w:jc w:val="right"/>
            </w:pPr>
            <w:r/>
            <w:r>
              <w:rPr>
                <w:rFonts w:ascii="Arial" w:hAnsi="Arial"/>
                <w:sz w:val="20"/>
              </w:rPr>
              <w:t>10.3%</w:t>
            </w:r>
          </w:p>
        </w:tc>
      </w:tr>
      <w:tr>
        <w:tc>
          <w:tcPr>
            <w:tcW w:type="dxa" w:w="4032"/>
            <w:shd w:fill="F2F7FB" w:val="clear"/>
          </w:tcPr>
          <w:p>
            <w:r/>
            <w:r>
              <w:rPr>
                <w:rFonts w:ascii="Arial" w:hAnsi="Arial"/>
                <w:b/>
                <w:sz w:val="20"/>
              </w:rPr>
              <w:t>EBITDA</w:t>
            </w:r>
          </w:p>
        </w:tc>
        <w:tc>
          <w:tcPr>
            <w:tcW w:type="dxa" w:w="2592"/>
            <w:shd w:fill="F2F7FB" w:val="clear"/>
          </w:tcPr>
          <w:p>
            <w:pPr>
              <w:jc w:val="right"/>
            </w:pPr>
            <w:r/>
            <w:r>
              <w:rPr>
                <w:rFonts w:ascii="Arial" w:hAnsi="Arial"/>
                <w:sz w:val="20"/>
              </w:rPr>
              <w:t>INR 6,682 Mn</w:t>
            </w:r>
          </w:p>
        </w:tc>
        <w:tc>
          <w:tcPr>
            <w:tcW w:type="dxa" w:w="2592"/>
            <w:shd w:fill="F2F7FB" w:val="clear"/>
          </w:tcPr>
          <w:p>
            <w:pPr>
              <w:jc w:val="right"/>
            </w:pPr>
            <w:r/>
            <w:r>
              <w:rPr>
                <w:rFonts w:ascii="Arial" w:hAnsi="Arial"/>
                <w:sz w:val="20"/>
              </w:rPr>
              <w:t>12.0%</w:t>
            </w:r>
          </w:p>
        </w:tc>
      </w:tr>
      <w:tr>
        <w:tc>
          <w:tcPr>
            <w:tcW w:type="dxa" w:w="4032"/>
          </w:tcPr>
          <w:p>
            <w:r/>
            <w:r>
              <w:rPr>
                <w:rFonts w:ascii="Arial" w:hAnsi="Arial"/>
                <w:b/>
                <w:sz w:val="20"/>
              </w:rPr>
              <w:t>EBITDA Margin (on VAR)</w:t>
            </w:r>
          </w:p>
        </w:tc>
        <w:tc>
          <w:tcPr>
            <w:tcW w:type="dxa" w:w="2592"/>
          </w:tcPr>
          <w:p>
            <w:pPr>
              <w:jc w:val="right"/>
            </w:pPr>
            <w:r/>
            <w:r>
              <w:rPr>
                <w:rFonts w:ascii="Arial" w:hAnsi="Arial"/>
                <w:sz w:val="20"/>
              </w:rPr>
              <w:t>19.0%</w:t>
            </w:r>
          </w:p>
        </w:tc>
        <w:tc>
          <w:tcPr>
            <w:tcW w:type="dxa" w:w="2592"/>
          </w:tcPr>
          <w:p>
            <w:pPr>
              <w:jc w:val="right"/>
            </w:pPr>
            <w:r/>
            <w:r>
              <w:rPr>
                <w:rFonts w:ascii="Arial" w:hAnsi="Arial"/>
                <w:sz w:val="20"/>
              </w:rPr>
              <w:t>-</w:t>
            </w:r>
          </w:p>
        </w:tc>
      </w:tr>
      <w:tr>
        <w:tc>
          <w:tcPr>
            <w:tcW w:type="dxa" w:w="4032"/>
            <w:shd w:fill="F2F7FB" w:val="clear"/>
          </w:tcPr>
          <w:p>
            <w:r/>
            <w:r>
              <w:rPr>
                <w:rFonts w:ascii="Arial" w:hAnsi="Arial"/>
                <w:b/>
                <w:sz w:val="20"/>
              </w:rPr>
              <w:t>PAT</w:t>
            </w:r>
          </w:p>
        </w:tc>
        <w:tc>
          <w:tcPr>
            <w:tcW w:type="dxa" w:w="2592"/>
            <w:shd w:fill="F2F7FB" w:val="clear"/>
          </w:tcPr>
          <w:p>
            <w:pPr>
              <w:jc w:val="right"/>
            </w:pPr>
            <w:r/>
            <w:r>
              <w:rPr>
                <w:rFonts w:ascii="Arial" w:hAnsi="Arial"/>
                <w:sz w:val="20"/>
              </w:rPr>
              <w:t>INR 4,376 Mn</w:t>
            </w:r>
          </w:p>
        </w:tc>
        <w:tc>
          <w:tcPr>
            <w:tcW w:type="dxa" w:w="2592"/>
            <w:shd w:fill="F2F7FB" w:val="clear"/>
          </w:tcPr>
          <w:p>
            <w:pPr>
              <w:jc w:val="right"/>
            </w:pPr>
            <w:r/>
            <w:r>
              <w:rPr>
                <w:rFonts w:ascii="Arial" w:hAnsi="Arial"/>
                <w:sz w:val="20"/>
              </w:rPr>
              <w:t>6.0%</w:t>
            </w:r>
          </w:p>
        </w:tc>
      </w:tr>
      <w:tr>
        <w:tc>
          <w:tcPr>
            <w:tcW w:type="dxa" w:w="4032"/>
          </w:tcPr>
          <w:p>
            <w:r/>
            <w:r>
              <w:rPr>
                <w:rFonts w:ascii="Arial" w:hAnsi="Arial"/>
                <w:b/>
                <w:sz w:val="20"/>
              </w:rPr>
              <w:t>ROCE</w:t>
            </w:r>
          </w:p>
        </w:tc>
        <w:tc>
          <w:tcPr>
            <w:tcW w:type="dxa" w:w="2592"/>
          </w:tcPr>
          <w:p>
            <w:pPr>
              <w:jc w:val="right"/>
            </w:pPr>
            <w:r/>
            <w:r>
              <w:rPr>
                <w:rFonts w:ascii="Arial" w:hAnsi="Arial"/>
                <w:sz w:val="20"/>
              </w:rPr>
              <w:t>80%+</w:t>
            </w:r>
          </w:p>
        </w:tc>
        <w:tc>
          <w:tcPr>
            <w:tcW w:type="dxa" w:w="2592"/>
          </w:tcPr>
          <w:p>
            <w:pPr>
              <w:jc w:val="right"/>
            </w:pPr>
            <w:r/>
            <w:r>
              <w:rPr>
                <w:rFonts w:ascii="Arial" w:hAnsi="Arial"/>
                <w:sz w:val="20"/>
              </w:rPr>
              <w:t>-</w:t>
            </w:r>
          </w:p>
        </w:tc>
      </w:tr>
      <w:tr>
        <w:tc>
          <w:tcPr>
            <w:tcW w:type="dxa" w:w="4032"/>
            <w:shd w:fill="F2F7FB" w:val="clear"/>
          </w:tcPr>
          <w:p>
            <w:r/>
            <w:r>
              <w:rPr>
                <w:rFonts w:ascii="Arial" w:hAnsi="Arial"/>
                <w:b/>
                <w:sz w:val="20"/>
              </w:rPr>
              <w:t>Cash Conversion Cycle</w:t>
            </w:r>
          </w:p>
        </w:tc>
        <w:tc>
          <w:tcPr>
            <w:tcW w:type="dxa" w:w="2592"/>
            <w:shd w:fill="F2F7FB" w:val="clear"/>
          </w:tcPr>
          <w:p>
            <w:pPr>
              <w:jc w:val="right"/>
            </w:pPr>
            <w:r/>
            <w:r>
              <w:rPr>
                <w:rFonts w:ascii="Arial" w:hAnsi="Arial"/>
                <w:sz w:val="20"/>
              </w:rPr>
              <w:t>Negative 22 days</w:t>
            </w:r>
          </w:p>
        </w:tc>
        <w:tc>
          <w:tcPr>
            <w:tcW w:type="dxa" w:w="2592"/>
            <w:shd w:fill="F2F7FB" w:val="clear"/>
          </w:tcPr>
          <w:p>
            <w:pPr>
              <w:jc w:val="right"/>
            </w:pPr>
            <w:r/>
            <w:r>
              <w:rPr>
                <w:rFonts w:ascii="Arial" w:hAnsi="Arial"/>
                <w:sz w:val="20"/>
              </w:rPr>
              <w:t>-</w:t>
            </w:r>
          </w:p>
        </w:tc>
      </w:tr>
      <w:tr>
        <w:tc>
          <w:tcPr>
            <w:tcW w:type="dxa" w:w="4032"/>
          </w:tcPr>
          <w:p>
            <w:r/>
            <w:r>
              <w:rPr>
                <w:rFonts w:ascii="Arial" w:hAnsi="Arial"/>
                <w:b/>
                <w:sz w:val="20"/>
              </w:rPr>
              <w:t>Debt</w:t>
            </w:r>
          </w:p>
        </w:tc>
        <w:tc>
          <w:tcPr>
            <w:tcW w:type="dxa" w:w="2592"/>
          </w:tcPr>
          <w:p>
            <w:pPr>
              <w:jc w:val="right"/>
            </w:pPr>
            <w:r/>
            <w:r>
              <w:rPr>
                <w:rFonts w:ascii="Arial" w:hAnsi="Arial"/>
                <w:sz w:val="20"/>
              </w:rPr>
              <w:t>Zero</w:t>
            </w:r>
          </w:p>
        </w:tc>
        <w:tc>
          <w:tcPr>
            <w:tcW w:type="dxa" w:w="2592"/>
          </w:tcPr>
          <w:p>
            <w:pPr>
              <w:jc w:val="right"/>
            </w:pPr>
            <w:r/>
            <w:r>
              <w:rPr>
                <w:rFonts w:ascii="Arial" w:hAnsi="Arial"/>
                <w:sz w:val="20"/>
              </w:rPr>
              <w:t>-</w:t>
            </w:r>
          </w:p>
        </w:tc>
      </w:tr>
    </w:tbl>
    <w:p/>
    <w:p>
      <w:pPr>
        <w:pStyle w:val="Heading2"/>
      </w:pPr>
      <w:r>
        <w:t>H1 FY26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fill="1F3864" w:val="clear"/>
          </w:tcPr>
          <w:p>
            <w:r/>
            <w:r>
              <w:rPr>
                <w:rFonts w:ascii="Arial" w:hAnsi="Arial"/>
                <w:b/>
                <w:color w:val="FFFFFF"/>
                <w:sz w:val="20"/>
              </w:rPr>
              <w:t>Metric</w:t>
            </w:r>
          </w:p>
        </w:tc>
        <w:tc>
          <w:tcPr>
            <w:tcW w:type="dxa" w:w="2592"/>
            <w:shd w:fill="1F3864" w:val="clear"/>
          </w:tcPr>
          <w:p>
            <w:r/>
            <w:r>
              <w:rPr>
                <w:rFonts w:ascii="Arial" w:hAnsi="Arial"/>
                <w:b/>
                <w:color w:val="FFFFFF"/>
                <w:sz w:val="20"/>
              </w:rPr>
              <w:t>H1 FY26</w:t>
            </w:r>
          </w:p>
        </w:tc>
        <w:tc>
          <w:tcPr>
            <w:tcW w:type="dxa" w:w="2592"/>
            <w:shd w:fill="1F3864" w:val="clear"/>
          </w:tcPr>
          <w:p>
            <w:r/>
            <w:r>
              <w:rPr>
                <w:rFonts w:ascii="Arial" w:hAnsi="Arial"/>
                <w:b/>
                <w:color w:val="FFFFFF"/>
                <w:sz w:val="20"/>
              </w:rPr>
              <w:t>YoY Growth</w:t>
            </w:r>
          </w:p>
        </w:tc>
      </w:tr>
      <w:tr>
        <w:tc>
          <w:tcPr>
            <w:tcW w:type="dxa" w:w="4032"/>
            <w:shd w:fill="F2F7FB" w:val="clear"/>
          </w:tcPr>
          <w:p>
            <w:r/>
            <w:r>
              <w:rPr>
                <w:rFonts w:ascii="Arial" w:hAnsi="Arial"/>
                <w:b/>
                <w:sz w:val="20"/>
              </w:rPr>
              <w:t>Value Added Revenue</w:t>
            </w:r>
          </w:p>
        </w:tc>
        <w:tc>
          <w:tcPr>
            <w:tcW w:type="dxa" w:w="2592"/>
            <w:shd w:fill="F2F7FB" w:val="clear"/>
          </w:tcPr>
          <w:p>
            <w:pPr>
              <w:jc w:val="right"/>
            </w:pPr>
            <w:r/>
            <w:r>
              <w:rPr>
                <w:rFonts w:ascii="Arial" w:hAnsi="Arial"/>
                <w:sz w:val="20"/>
              </w:rPr>
              <w:t>INR 23,181 Mn</w:t>
            </w:r>
          </w:p>
        </w:tc>
        <w:tc>
          <w:tcPr>
            <w:tcW w:type="dxa" w:w="2592"/>
            <w:shd w:fill="F2F7FB" w:val="clear"/>
          </w:tcPr>
          <w:p>
            <w:pPr>
              <w:jc w:val="right"/>
            </w:pPr>
            <w:r/>
            <w:r>
              <w:rPr>
                <w:rFonts w:ascii="Arial" w:hAnsi="Arial"/>
                <w:sz w:val="20"/>
              </w:rPr>
              <w:t>8.2%</w:t>
            </w:r>
          </w:p>
        </w:tc>
      </w:tr>
      <w:tr>
        <w:tc>
          <w:tcPr>
            <w:tcW w:type="dxa" w:w="4032"/>
          </w:tcPr>
          <w:p>
            <w:r/>
            <w:r>
              <w:rPr>
                <w:rFonts w:ascii="Arial" w:hAnsi="Arial"/>
                <w:b/>
                <w:sz w:val="20"/>
              </w:rPr>
              <w:t>EBITDA</w:t>
            </w:r>
          </w:p>
        </w:tc>
        <w:tc>
          <w:tcPr>
            <w:tcW w:type="dxa" w:w="2592"/>
          </w:tcPr>
          <w:p>
            <w:pPr>
              <w:jc w:val="right"/>
            </w:pPr>
            <w:r/>
            <w:r>
              <w:rPr>
                <w:rFonts w:ascii="Arial" w:hAnsi="Arial"/>
                <w:sz w:val="20"/>
              </w:rPr>
              <w:t>INR 4,457 Mn</w:t>
            </w:r>
          </w:p>
        </w:tc>
        <w:tc>
          <w:tcPr>
            <w:tcW w:type="dxa" w:w="2592"/>
          </w:tcPr>
          <w:p>
            <w:pPr>
              <w:jc w:val="right"/>
            </w:pPr>
            <w:r/>
            <w:r>
              <w:rPr>
                <w:rFonts w:ascii="Arial" w:hAnsi="Arial"/>
                <w:sz w:val="20"/>
              </w:rPr>
              <w:t>6.6%</w:t>
            </w:r>
          </w:p>
        </w:tc>
      </w:tr>
      <w:tr>
        <w:tc>
          <w:tcPr>
            <w:tcW w:type="dxa" w:w="4032"/>
            <w:shd w:fill="F2F7FB" w:val="clear"/>
          </w:tcPr>
          <w:p>
            <w:r/>
            <w:r>
              <w:rPr>
                <w:rFonts w:ascii="Arial" w:hAnsi="Arial"/>
                <w:b/>
                <w:sz w:val="20"/>
              </w:rPr>
              <w:t>EBITDA Margin (on VAR)</w:t>
            </w:r>
          </w:p>
        </w:tc>
        <w:tc>
          <w:tcPr>
            <w:tcW w:type="dxa" w:w="2592"/>
            <w:shd w:fill="F2F7FB" w:val="clear"/>
          </w:tcPr>
          <w:p>
            <w:pPr>
              <w:jc w:val="right"/>
            </w:pPr>
            <w:r/>
            <w:r>
              <w:rPr>
                <w:rFonts w:ascii="Arial" w:hAnsi="Arial"/>
                <w:sz w:val="20"/>
              </w:rPr>
              <w:t>19.2%</w:t>
            </w:r>
          </w:p>
        </w:tc>
        <w:tc>
          <w:tcPr>
            <w:tcW w:type="dxa" w:w="2592"/>
            <w:shd w:fill="F2F7FB" w:val="clear"/>
          </w:tcPr>
          <w:p>
            <w:pPr>
              <w:jc w:val="right"/>
            </w:pPr>
            <w:r/>
            <w:r>
              <w:rPr>
                <w:rFonts w:ascii="Arial" w:hAnsi="Arial"/>
                <w:sz w:val="20"/>
              </w:rPr>
              <w:t>-</w:t>
            </w:r>
          </w:p>
        </w:tc>
      </w:tr>
      <w:tr>
        <w:tc>
          <w:tcPr>
            <w:tcW w:type="dxa" w:w="4032"/>
          </w:tcPr>
          <w:p>
            <w:r/>
            <w:r>
              <w:rPr>
                <w:rFonts w:ascii="Arial" w:hAnsi="Arial"/>
                <w:b/>
                <w:sz w:val="20"/>
              </w:rPr>
              <w:t>PAT</w:t>
            </w:r>
          </w:p>
        </w:tc>
        <w:tc>
          <w:tcPr>
            <w:tcW w:type="dxa" w:w="2592"/>
          </w:tcPr>
          <w:p>
            <w:pPr>
              <w:jc w:val="right"/>
            </w:pPr>
            <w:r/>
            <w:r>
              <w:rPr>
                <w:rFonts w:ascii="Arial" w:hAnsi="Arial"/>
                <w:sz w:val="20"/>
              </w:rPr>
              <w:t>INR 3,188 Mn</w:t>
            </w:r>
          </w:p>
        </w:tc>
        <w:tc>
          <w:tcPr>
            <w:tcW w:type="dxa" w:w="2592"/>
          </w:tcPr>
          <w:p>
            <w:pPr>
              <w:jc w:val="right"/>
            </w:pPr>
            <w:r/>
            <w:r>
              <w:rPr>
                <w:rFonts w:ascii="Arial" w:hAnsi="Arial"/>
                <w:sz w:val="20"/>
              </w:rPr>
              <w:t>10.9%</w:t>
            </w:r>
          </w:p>
        </w:tc>
      </w:tr>
      <w:tr>
        <w:tc>
          <w:tcPr>
            <w:tcW w:type="dxa" w:w="4032"/>
            <w:shd w:fill="F2F7FB" w:val="clear"/>
          </w:tcPr>
          <w:p>
            <w:r/>
            <w:r>
              <w:rPr>
                <w:rFonts w:ascii="Arial" w:hAnsi="Arial"/>
                <w:b/>
                <w:sz w:val="20"/>
              </w:rPr>
              <w:t>PAT Margin</w:t>
            </w:r>
          </w:p>
        </w:tc>
        <w:tc>
          <w:tcPr>
            <w:tcW w:type="dxa" w:w="2592"/>
            <w:shd w:fill="F2F7FB" w:val="clear"/>
          </w:tcPr>
          <w:p>
            <w:pPr>
              <w:jc w:val="right"/>
            </w:pPr>
            <w:r/>
            <w:r>
              <w:rPr>
                <w:rFonts w:ascii="Arial" w:hAnsi="Arial"/>
                <w:sz w:val="20"/>
              </w:rPr>
              <w:t>13.8%</w:t>
            </w:r>
          </w:p>
        </w:tc>
        <w:tc>
          <w:tcPr>
            <w:tcW w:type="dxa" w:w="2592"/>
            <w:shd w:fill="F2F7FB" w:val="clear"/>
          </w:tcPr>
          <w:p>
            <w:pPr>
              <w:jc w:val="right"/>
            </w:pPr>
            <w:r/>
            <w:r>
              <w:rPr>
                <w:rFonts w:ascii="Arial" w:hAnsi="Arial"/>
                <w:sz w:val="20"/>
              </w:rPr>
              <w:t>+34 bps YoY</w:t>
            </w:r>
          </w:p>
        </w:tc>
      </w:tr>
      <w:tr>
        <w:tc>
          <w:tcPr>
            <w:tcW w:type="dxa" w:w="4032"/>
          </w:tcPr>
          <w:p>
            <w:r/>
            <w:r>
              <w:rPr>
                <w:rFonts w:ascii="Arial" w:hAnsi="Arial"/>
                <w:b/>
                <w:sz w:val="20"/>
              </w:rPr>
              <w:t>Operating Cash Flow</w:t>
            </w:r>
          </w:p>
        </w:tc>
        <w:tc>
          <w:tcPr>
            <w:tcW w:type="dxa" w:w="2592"/>
          </w:tcPr>
          <w:p>
            <w:pPr>
              <w:jc w:val="right"/>
            </w:pPr>
            <w:r/>
            <w:r>
              <w:rPr>
                <w:rFonts w:ascii="Arial" w:hAnsi="Arial"/>
                <w:sz w:val="20"/>
              </w:rPr>
              <w:t>INR 11,220 Mn</w:t>
            </w:r>
          </w:p>
        </w:tc>
        <w:tc>
          <w:tcPr>
            <w:tcW w:type="dxa" w:w="2592"/>
          </w:tcPr>
          <w:p>
            <w:pPr>
              <w:jc w:val="right"/>
            </w:pPr>
            <w:r/>
            <w:r>
              <w:rPr>
                <w:rFonts w:ascii="Arial" w:hAnsi="Arial"/>
                <w:sz w:val="20"/>
              </w:rPr>
              <w:t>-</w:t>
            </w:r>
          </w:p>
        </w:tc>
      </w:tr>
      <w:tr>
        <w:tc>
          <w:tcPr>
            <w:tcW w:type="dxa" w:w="4032"/>
            <w:shd w:fill="F2F7FB" w:val="clear"/>
          </w:tcPr>
          <w:p>
            <w:r/>
            <w:r>
              <w:rPr>
                <w:rFonts w:ascii="Arial" w:hAnsi="Arial"/>
                <w:b/>
                <w:sz w:val="20"/>
              </w:rPr>
              <w:t>Capex</w:t>
            </w:r>
          </w:p>
        </w:tc>
        <w:tc>
          <w:tcPr>
            <w:tcW w:type="dxa" w:w="2592"/>
            <w:shd w:fill="F2F7FB" w:val="clear"/>
          </w:tcPr>
          <w:p>
            <w:pPr>
              <w:jc w:val="right"/>
            </w:pPr>
            <w:r/>
            <w:r>
              <w:rPr>
                <w:rFonts w:ascii="Arial" w:hAnsi="Arial"/>
                <w:sz w:val="20"/>
              </w:rPr>
              <w:t>INR 246 Mn</w:t>
            </w:r>
          </w:p>
        </w:tc>
        <w:tc>
          <w:tcPr>
            <w:tcW w:type="dxa" w:w="2592"/>
            <w:shd w:fill="F2F7FB" w:val="clear"/>
          </w:tcPr>
          <w:p>
            <w:pPr>
              <w:jc w:val="right"/>
            </w:pPr>
            <w:r/>
            <w:r>
              <w:rPr>
                <w:rFonts w:ascii="Arial" w:hAnsi="Arial"/>
                <w:sz w:val="20"/>
              </w:rPr>
              <w:t>-</w:t>
            </w:r>
          </w:p>
        </w:tc>
      </w:tr>
    </w:tbl>
    <w:p>
      <w:r>
        <w:br w:type="page"/>
      </w:r>
    </w:p>
    <w:p>
      <w:pPr>
        <w:pStyle w:val="Heading1"/>
      </w:pPr>
      <w:r>
        <w:t>3. Key Catalysts and DNA Shift</w:t>
      </w:r>
    </w:p>
    <w:p>
      <w:r>
        <w:rPr>
          <w:i/>
          <w:color w:val="2E75B6"/>
        </w:rPr>
        <w:t>This is the most important section for any investor evaluating Tenneco India. There are several structural shifts underway that could meaningfully re-rate the stock.</w:t>
      </w:r>
    </w:p>
    <w:p>
      <w:pPr>
        <w:pStyle w:val="Heading2"/>
      </w:pPr>
      <w:r>
        <w:t>Catalyst 1: DaVinci DCx Suspension (Game Changer)</w:t>
      </w:r>
    </w:p>
    <w:p>
      <w:r>
        <w:t>This is a first-in-the-world patented purely mechanical advanced suspension system that delivers near-semi-active ride quality at a fraction of the cost. It uses stacked shim discs that allow selective hydraulic flow based on road conditions. The CEO described the incremental cost to the OEM as the equivalent of a dinner for two at a five-star hotel. One program alone with a leading Indian OEM (likely Mahindra, for XUV700/7XO platforms) has an estimated annual revenue potential of INR 2,200 million. Demand is reportedly very strong across Indian, Japanese, and Korean OEMs. This product covers B through D segments, all SUVs, and even light commercial vehicles, giving it an addressable market far beyond just passenger vehicles. It is patented and took 3-4 years of global + local R&amp;D development, making it very hard to copy.</w:t>
      </w:r>
    </w:p>
    <w:p>
      <w:pPr>
        <w:pStyle w:val="Heading2"/>
      </w:pPr>
      <w:r>
        <w:t>Catalyst 2: Export Inflection from Tariff Reductions</w:t>
      </w:r>
    </w:p>
    <w:p>
      <w:r>
        <w:t>Exports have moved from 5% of revenue at IPO to 20% of the order book. US tariffs on Indian auto components dropped from 50% to 18%. EU tariffs on products like bearings went from 8% to zero. India-EU FTA is progressing and will further enhance competitiveness. Exports cover both Clean Air and ART products, going to third-party OEMs and internal Tenneco group entities. Management describes export CAGR as very strong double digits. Geographic mix is led by Asia, followed by US and Europe, with rebalancing expected as tariff benefits kick in.</w:t>
      </w:r>
    </w:p>
    <w:p>
      <w:pPr>
        <w:pStyle w:val="Heading2"/>
      </w:pPr>
      <w:r>
        <w:t>Catalyst 3: TREM 5 and Emission Norm Escalation</w:t>
      </w:r>
    </w:p>
    <w:p>
      <w:r>
        <w:t>TREM 5 norms (expected around 2027) for tractors will mandate an oxycat and particulate filter, creating massive content per vehicle growth in the off-highway segment where Tenneco already holds 68% market share. CAFE norms and early versions of BS7 for passenger vehicles will similarly increase clean air content. Each regulatory tightening historically has grown Tenneco's market share because of their engineering speed, cost optimization, and packaging expertise.</w:t>
      </w:r>
    </w:p>
    <w:p>
      <w:pPr>
        <w:pStyle w:val="Heading2"/>
      </w:pPr>
      <w:r>
        <w:t>Catalyst 4: Greenfield Plant at Kharkhoda, Haryana</w:t>
      </w:r>
    </w:p>
    <w:p>
      <w:r>
        <w:t>Board has approved INR 710 million capex for a new plant in North India to support Clean Air and Powertrain growth. Historical asset turnover ratio is 3.5x-4x on gross block and 7-8x on net block. Start of production expected Q3 FY27. This will add proximity to northern OEM clusters and support awarded programs across light vehicles, off-highway, and tractor segments.</w:t>
      </w:r>
    </w:p>
    <w:p>
      <w:pPr>
        <w:pStyle w:val="Heading2"/>
      </w:pPr>
      <w:r>
        <w:t>Catalyst 5: Global EV Slowdown Benefits ICE Business</w:t>
      </w:r>
    </w:p>
    <w:p>
      <w:r>
        <w:t>The global pullback from pure EV toward hybridization (in US, Europe, and even China) is structurally positive for Tenneco. Apollo took over Tenneco as a contrarian bet that ICE wouldn't die. With US rolling back EV subsidies and emission standards, and consumers returning to ICE/hybrid due to poor EV resale values and charging infrastructure issues, Tenneco's core aftertreatment and suspension businesses get a longer and stronger runway.</w:t>
      </w:r>
    </w:p>
    <w:p>
      <w:pPr>
        <w:pStyle w:val="Heading2"/>
      </w:pPr>
      <w:r>
        <w:t>Catalyst 6: White Space Penetration in Passenger Vehicle Clean Air</w:t>
      </w:r>
    </w:p>
    <w:p>
      <w:r>
        <w:t>Tenneco made a strategic entry into a leading Japanese OEM's (likely Maruti Suzuki) clean air supplier panel through a gasoline particulate filter win in Q2 FY26. This opens up a massive previously untapped addressable market. The company is moving from having minimal PV clean air exposure to becoming a serious player, which should accelerate revenue growth in this segment over the next 18-24 months.</w:t>
      </w:r>
    </w:p>
    <w:p>
      <w:r>
        <w:br w:type="page"/>
      </w:r>
    </w:p>
    <w:p>
      <w:pPr>
        <w:pStyle w:val="Heading1"/>
      </w:pPr>
      <w:r>
        <w:t>4. Red Flags Assessment</w:t>
      </w:r>
    </w:p>
    <w:p>
      <w:r>
        <w:t>Rating Scale: 1 (negligible risk) to 10 (critical risk)</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1F3864" w:val="clear"/>
          </w:tcPr>
          <w:p>
            <w:r/>
            <w:r>
              <w:rPr>
                <w:rFonts w:ascii="Arial" w:hAnsi="Arial"/>
                <w:b/>
                <w:color w:val="FFFFFF"/>
                <w:sz w:val="20"/>
              </w:rPr>
              <w:t>#</w:t>
            </w:r>
          </w:p>
        </w:tc>
        <w:tc>
          <w:tcPr>
            <w:tcW w:type="dxa" w:w="4032"/>
            <w:shd w:fill="1F3864" w:val="clear"/>
          </w:tcPr>
          <w:p>
            <w:r/>
            <w:r>
              <w:rPr>
                <w:rFonts w:ascii="Arial" w:hAnsi="Arial"/>
                <w:b/>
                <w:color w:val="FFFFFF"/>
                <w:sz w:val="20"/>
              </w:rPr>
              <w:t>Red Flag</w:t>
            </w:r>
          </w:p>
        </w:tc>
        <w:tc>
          <w:tcPr>
            <w:tcW w:type="dxa" w:w="1152"/>
            <w:shd w:fill="1F3864" w:val="clear"/>
          </w:tcPr>
          <w:p>
            <w:r/>
            <w:r>
              <w:rPr>
                <w:rFonts w:ascii="Arial" w:hAnsi="Arial"/>
                <w:b/>
                <w:color w:val="FFFFFF"/>
                <w:sz w:val="20"/>
              </w:rPr>
              <w:t>Rating</w:t>
            </w:r>
          </w:p>
        </w:tc>
        <w:tc>
          <w:tcPr>
            <w:tcW w:type="dxa" w:w="3600"/>
            <w:shd w:fill="1F3864" w:val="clear"/>
          </w:tcPr>
          <w:p>
            <w:r/>
            <w:r>
              <w:rPr>
                <w:rFonts w:ascii="Arial" w:hAnsi="Arial"/>
                <w:b/>
                <w:color w:val="FFFFFF"/>
                <w:sz w:val="20"/>
              </w:rPr>
              <w:t>Commentary</w:t>
            </w:r>
          </w:p>
        </w:tc>
      </w:tr>
      <w:tr>
        <w:tc>
          <w:tcPr>
            <w:tcW w:type="dxa" w:w="576"/>
            <w:shd w:fill="F2F7FB" w:val="clear"/>
          </w:tcPr>
          <w:p>
            <w:r/>
            <w:r>
              <w:rPr>
                <w:rFonts w:ascii="Arial" w:hAnsi="Arial"/>
                <w:sz w:val="20"/>
              </w:rPr>
              <w:t>1</w:t>
            </w:r>
          </w:p>
        </w:tc>
        <w:tc>
          <w:tcPr>
            <w:tcW w:type="dxa" w:w="4032"/>
            <w:shd w:fill="F2F7FB" w:val="clear"/>
          </w:tcPr>
          <w:p>
            <w:r/>
            <w:r>
              <w:rPr>
                <w:rFonts w:ascii="Arial" w:hAnsi="Arial"/>
                <w:b/>
                <w:sz w:val="20"/>
              </w:rPr>
              <w:t>Related Party Transactions &amp; Royalty Payments</w:t>
            </w:r>
          </w:p>
        </w:tc>
        <w:tc>
          <w:tcPr>
            <w:tcW w:type="dxa" w:w="1152"/>
            <w:shd w:fill="F2F7FB" w:val="clear"/>
          </w:tcPr>
          <w:p>
            <w:pPr>
              <w:jc w:val="center"/>
            </w:pPr>
            <w:r/>
            <w:r>
              <w:rPr>
                <w:rFonts w:ascii="Arial" w:hAnsi="Arial"/>
                <w:b/>
                <w:color w:val="FF8C00"/>
                <w:sz w:val="20"/>
              </w:rPr>
              <w:t>5/10</w:t>
            </w:r>
          </w:p>
        </w:tc>
        <w:tc>
          <w:tcPr>
            <w:tcW w:type="dxa" w:w="3600"/>
            <w:shd w:fill="F2F7FB" w:val="clear"/>
          </w:tcPr>
          <w:p>
            <w:r/>
            <w:r>
              <w:rPr>
                <w:rFonts w:ascii="Arial" w:hAnsi="Arial"/>
                <w:sz w:val="18"/>
              </w:rPr>
              <w:t>2.5% royalty on total revenue (not VAR) to parent. While benchmarked by independent third party and approved by Board, this is calculated on gross revenue including pass-through substrates. Parent controls technology access creating dependency.</w:t>
            </w:r>
          </w:p>
        </w:tc>
      </w:tr>
      <w:tr>
        <w:tc>
          <w:tcPr>
            <w:tcW w:type="dxa" w:w="576"/>
          </w:tcPr>
          <w:p>
            <w:r/>
            <w:r>
              <w:rPr>
                <w:rFonts w:ascii="Arial" w:hAnsi="Arial"/>
                <w:sz w:val="20"/>
              </w:rPr>
              <w:t>2</w:t>
            </w:r>
          </w:p>
        </w:tc>
        <w:tc>
          <w:tcPr>
            <w:tcW w:type="dxa" w:w="4032"/>
          </w:tcPr>
          <w:p>
            <w:r/>
            <w:r>
              <w:rPr>
                <w:rFonts w:ascii="Arial" w:hAnsi="Arial"/>
                <w:b/>
                <w:sz w:val="20"/>
              </w:rPr>
              <w:t>Promoter Concentration / Apollo Control</w:t>
            </w:r>
          </w:p>
        </w:tc>
        <w:tc>
          <w:tcPr>
            <w:tcW w:type="dxa" w:w="1152"/>
          </w:tcPr>
          <w:p>
            <w:pPr>
              <w:jc w:val="center"/>
            </w:pPr>
            <w:r/>
            <w:r>
              <w:rPr>
                <w:rFonts w:ascii="Arial" w:hAnsi="Arial"/>
                <w:b/>
                <w:color w:val="FF8C00"/>
                <w:sz w:val="20"/>
              </w:rPr>
              <w:t>6/10</w:t>
            </w:r>
          </w:p>
        </w:tc>
        <w:tc>
          <w:tcPr>
            <w:tcW w:type="dxa" w:w="3600"/>
          </w:tcPr>
          <w:p>
            <w:r/>
            <w:r>
              <w:rPr>
                <w:rFonts w:ascii="Arial" w:hAnsi="Arial"/>
                <w:sz w:val="18"/>
              </w:rPr>
              <w:t>Apollo Global Management is the controlling shareholder via Tenneco group. Decisions on capex transfers, technology sharing, export allocation are driven by Apollo's enterprise value optimization lens. May not always align with Indian minority shareholders.</w:t>
            </w:r>
          </w:p>
        </w:tc>
      </w:tr>
      <w:tr>
        <w:tc>
          <w:tcPr>
            <w:tcW w:type="dxa" w:w="576"/>
            <w:shd w:fill="F2F7FB" w:val="clear"/>
          </w:tcPr>
          <w:p>
            <w:r/>
            <w:r>
              <w:rPr>
                <w:rFonts w:ascii="Arial" w:hAnsi="Arial"/>
                <w:sz w:val="20"/>
              </w:rPr>
              <w:t>3</w:t>
            </w:r>
          </w:p>
        </w:tc>
        <w:tc>
          <w:tcPr>
            <w:tcW w:type="dxa" w:w="4032"/>
            <w:shd w:fill="F2F7FB" w:val="clear"/>
          </w:tcPr>
          <w:p>
            <w:r/>
            <w:r>
              <w:rPr>
                <w:rFonts w:ascii="Arial" w:hAnsi="Arial"/>
                <w:b/>
                <w:sz w:val="20"/>
              </w:rPr>
              <w:t>Segment-Level Margin Opacity</w:t>
            </w:r>
          </w:p>
        </w:tc>
        <w:tc>
          <w:tcPr>
            <w:tcW w:type="dxa" w:w="1152"/>
            <w:shd w:fill="F2F7FB" w:val="clear"/>
          </w:tcPr>
          <w:p>
            <w:pPr>
              <w:jc w:val="center"/>
            </w:pPr>
            <w:r/>
            <w:r>
              <w:rPr>
                <w:rFonts w:ascii="Arial" w:hAnsi="Arial"/>
                <w:b/>
                <w:color w:val="FF8C00"/>
                <w:sz w:val="20"/>
              </w:rPr>
              <w:t>5/10</w:t>
            </w:r>
          </w:p>
        </w:tc>
        <w:tc>
          <w:tcPr>
            <w:tcW w:type="dxa" w:w="3600"/>
            <w:shd w:fill="F2F7FB" w:val="clear"/>
          </w:tcPr>
          <w:p>
            <w:r/>
            <w:r>
              <w:rPr>
                <w:rFonts w:ascii="Arial" w:hAnsi="Arial"/>
                <w:sz w:val="18"/>
              </w:rPr>
              <w:t>Management refuses to disclose margins by segment (Clean Air vs ART). Without segment margins, investors cannot properly model profitability evolution or identify if Clean Air is margin-dilutive.</w:t>
            </w:r>
          </w:p>
        </w:tc>
      </w:tr>
      <w:tr>
        <w:tc>
          <w:tcPr>
            <w:tcW w:type="dxa" w:w="576"/>
          </w:tcPr>
          <w:p>
            <w:r/>
            <w:r>
              <w:rPr>
                <w:rFonts w:ascii="Arial" w:hAnsi="Arial"/>
                <w:sz w:val="20"/>
              </w:rPr>
              <w:t>4</w:t>
            </w:r>
          </w:p>
        </w:tc>
        <w:tc>
          <w:tcPr>
            <w:tcW w:type="dxa" w:w="4032"/>
          </w:tcPr>
          <w:p>
            <w:r/>
            <w:r>
              <w:rPr>
                <w:rFonts w:ascii="Arial" w:hAnsi="Arial"/>
                <w:b/>
                <w:sz w:val="20"/>
              </w:rPr>
              <w:t>One-Time Labour Code Impact</w:t>
            </w:r>
          </w:p>
        </w:tc>
        <w:tc>
          <w:tcPr>
            <w:tcW w:type="dxa" w:w="1152"/>
          </w:tcPr>
          <w:p>
            <w:pPr>
              <w:jc w:val="center"/>
            </w:pPr>
            <w:r/>
            <w:r>
              <w:rPr>
                <w:rFonts w:ascii="Arial" w:hAnsi="Arial"/>
                <w:b/>
                <w:color w:val="228B22"/>
                <w:sz w:val="20"/>
              </w:rPr>
              <w:t>3/10</w:t>
            </w:r>
          </w:p>
        </w:tc>
        <w:tc>
          <w:tcPr>
            <w:tcW w:type="dxa" w:w="3600"/>
          </w:tcPr>
          <w:p>
            <w:r/>
            <w:r>
              <w:rPr>
                <w:rFonts w:ascii="Arial" w:hAnsi="Arial"/>
                <w:sz w:val="18"/>
              </w:rPr>
              <w:t>INR 203 Mn one-off charge in Q3 FY26 from retrospective application of new labour codes. While one-time, new labour laws create uncertainty for all Indian manufacturers.</w:t>
            </w:r>
          </w:p>
        </w:tc>
      </w:tr>
      <w:tr>
        <w:tc>
          <w:tcPr>
            <w:tcW w:type="dxa" w:w="576"/>
            <w:shd w:fill="F2F7FB" w:val="clear"/>
          </w:tcPr>
          <w:p>
            <w:r/>
            <w:r>
              <w:rPr>
                <w:rFonts w:ascii="Arial" w:hAnsi="Arial"/>
                <w:sz w:val="20"/>
              </w:rPr>
              <w:t>5</w:t>
            </w:r>
          </w:p>
        </w:tc>
        <w:tc>
          <w:tcPr>
            <w:tcW w:type="dxa" w:w="4032"/>
            <w:shd w:fill="F2F7FB" w:val="clear"/>
          </w:tcPr>
          <w:p>
            <w:r/>
            <w:r>
              <w:rPr>
                <w:rFonts w:ascii="Arial" w:hAnsi="Arial"/>
                <w:b/>
                <w:sz w:val="20"/>
              </w:rPr>
              <w:t>Clean Air Segment Growth Lagging ART</w:t>
            </w:r>
          </w:p>
        </w:tc>
        <w:tc>
          <w:tcPr>
            <w:tcW w:type="dxa" w:w="1152"/>
            <w:shd w:fill="F2F7FB" w:val="clear"/>
          </w:tcPr>
          <w:p>
            <w:pPr>
              <w:jc w:val="center"/>
            </w:pPr>
            <w:r/>
            <w:r>
              <w:rPr>
                <w:rFonts w:ascii="Arial" w:hAnsi="Arial"/>
                <w:b/>
                <w:color w:val="228B22"/>
                <w:sz w:val="20"/>
              </w:rPr>
              <w:t>4/10</w:t>
            </w:r>
          </w:p>
        </w:tc>
        <w:tc>
          <w:tcPr>
            <w:tcW w:type="dxa" w:w="3600"/>
            <w:shd w:fill="F2F7FB" w:val="clear"/>
          </w:tcPr>
          <w:p>
            <w:r/>
            <w:r>
              <w:rPr>
                <w:rFonts w:ascii="Arial" w:hAnsi="Arial"/>
                <w:sz w:val="18"/>
              </w:rPr>
              <w:t>Q3 FY26 saw Clean Air grow only 5.4% vs ART at 24.5%. If Clean Air continues to lag, the blended growth story weakens significantly.</w:t>
            </w:r>
          </w:p>
        </w:tc>
      </w:tr>
      <w:tr>
        <w:tc>
          <w:tcPr>
            <w:tcW w:type="dxa" w:w="576"/>
          </w:tcPr>
          <w:p>
            <w:r/>
            <w:r>
              <w:rPr>
                <w:rFonts w:ascii="Arial" w:hAnsi="Arial"/>
                <w:sz w:val="20"/>
              </w:rPr>
              <w:t>6</w:t>
            </w:r>
          </w:p>
        </w:tc>
        <w:tc>
          <w:tcPr>
            <w:tcW w:type="dxa" w:w="4032"/>
          </w:tcPr>
          <w:p>
            <w:r/>
            <w:r>
              <w:rPr>
                <w:rFonts w:ascii="Arial" w:hAnsi="Arial"/>
                <w:b/>
                <w:sz w:val="20"/>
              </w:rPr>
              <w:t>Commercial Vehicle Cyclicality</w:t>
            </w:r>
          </w:p>
        </w:tc>
        <w:tc>
          <w:tcPr>
            <w:tcW w:type="dxa" w:w="1152"/>
          </w:tcPr>
          <w:p>
            <w:pPr>
              <w:jc w:val="center"/>
            </w:pPr>
            <w:r/>
            <w:r>
              <w:rPr>
                <w:rFonts w:ascii="Arial" w:hAnsi="Arial"/>
                <w:b/>
                <w:color w:val="FF8C00"/>
                <w:sz w:val="20"/>
              </w:rPr>
              <w:t>5/10</w:t>
            </w:r>
          </w:p>
        </w:tc>
        <w:tc>
          <w:tcPr>
            <w:tcW w:type="dxa" w:w="3600"/>
          </w:tcPr>
          <w:p>
            <w:r/>
            <w:r>
              <w:rPr>
                <w:rFonts w:ascii="Arial" w:hAnsi="Arial"/>
                <w:sz w:val="18"/>
              </w:rPr>
              <w:t>Significant exposure to commercial trucks (57% market share in Clean Air). CV production at 5-year low. Any prolonged CV downturn directly impacts Clean Air revenues.</w:t>
            </w:r>
          </w:p>
        </w:tc>
      </w:tr>
      <w:tr>
        <w:tc>
          <w:tcPr>
            <w:tcW w:type="dxa" w:w="576"/>
            <w:shd w:fill="F2F7FB" w:val="clear"/>
          </w:tcPr>
          <w:p>
            <w:r/>
            <w:r>
              <w:rPr>
                <w:rFonts w:ascii="Arial" w:hAnsi="Arial"/>
                <w:sz w:val="20"/>
              </w:rPr>
              <w:t>7</w:t>
            </w:r>
          </w:p>
        </w:tc>
        <w:tc>
          <w:tcPr>
            <w:tcW w:type="dxa" w:w="4032"/>
            <w:shd w:fill="F2F7FB" w:val="clear"/>
          </w:tcPr>
          <w:p>
            <w:r/>
            <w:r>
              <w:rPr>
                <w:rFonts w:ascii="Arial" w:hAnsi="Arial"/>
                <w:b/>
                <w:sz w:val="20"/>
              </w:rPr>
              <w:t>Capacity Utilization at 90%+</w:t>
            </w:r>
          </w:p>
        </w:tc>
        <w:tc>
          <w:tcPr>
            <w:tcW w:type="dxa" w:w="1152"/>
            <w:shd w:fill="F2F7FB" w:val="clear"/>
          </w:tcPr>
          <w:p>
            <w:pPr>
              <w:jc w:val="center"/>
            </w:pPr>
            <w:r/>
            <w:r>
              <w:rPr>
                <w:rFonts w:ascii="Arial" w:hAnsi="Arial"/>
                <w:b/>
                <w:color w:val="228B22"/>
                <w:sz w:val="20"/>
              </w:rPr>
              <w:t>4/10</w:t>
            </w:r>
          </w:p>
        </w:tc>
        <w:tc>
          <w:tcPr>
            <w:tcW w:type="dxa" w:w="3600"/>
            <w:shd w:fill="F2F7FB" w:val="clear"/>
          </w:tcPr>
          <w:p>
            <w:r/>
            <w:r>
              <w:rPr>
                <w:rFonts w:ascii="Arial" w:hAnsi="Arial"/>
                <w:sz w:val="18"/>
              </w:rPr>
              <w:t>Operating at 90%+ capacity means demand surges could strain operations before Kharkhoda plant comes online in Q3 FY27. 12-18 month execution risk.</w:t>
            </w:r>
          </w:p>
        </w:tc>
      </w:tr>
      <w:tr>
        <w:tc>
          <w:tcPr>
            <w:tcW w:type="dxa" w:w="576"/>
          </w:tcPr>
          <w:p>
            <w:r/>
            <w:r>
              <w:rPr>
                <w:rFonts w:ascii="Arial" w:hAnsi="Arial"/>
                <w:sz w:val="20"/>
              </w:rPr>
              <w:t>8</w:t>
            </w:r>
          </w:p>
        </w:tc>
        <w:tc>
          <w:tcPr>
            <w:tcW w:type="dxa" w:w="4032"/>
          </w:tcPr>
          <w:p>
            <w:r/>
            <w:r>
              <w:rPr>
                <w:rFonts w:ascii="Arial" w:hAnsi="Arial"/>
                <w:b/>
                <w:sz w:val="20"/>
              </w:rPr>
              <w:t>Precious Metal Price Volatility</w:t>
            </w:r>
          </w:p>
        </w:tc>
        <w:tc>
          <w:tcPr>
            <w:tcW w:type="dxa" w:w="1152"/>
          </w:tcPr>
          <w:p>
            <w:pPr>
              <w:jc w:val="center"/>
            </w:pPr>
            <w:r/>
            <w:r>
              <w:rPr>
                <w:rFonts w:ascii="Arial" w:hAnsi="Arial"/>
                <w:b/>
                <w:color w:val="228B22"/>
                <w:sz w:val="20"/>
              </w:rPr>
              <w:t>2/10</w:t>
            </w:r>
          </w:p>
        </w:tc>
        <w:tc>
          <w:tcPr>
            <w:tcW w:type="dxa" w:w="3600"/>
          </w:tcPr>
          <w:p>
            <w:r/>
            <w:r>
              <w:rPr>
                <w:rFonts w:ascii="Arial" w:hAnsi="Arial"/>
                <w:sz w:val="18"/>
              </w:rPr>
              <w:t>While substrates are pass-through, elevated prices create working capital drag and the 2.5% royalty is calculated on total revenue including substrate costs.</w:t>
            </w:r>
          </w:p>
        </w:tc>
      </w:tr>
      <w:tr>
        <w:tc>
          <w:tcPr>
            <w:tcW w:type="dxa" w:w="576"/>
            <w:shd w:fill="F2F7FB" w:val="clear"/>
          </w:tcPr>
          <w:p>
            <w:r/>
            <w:r>
              <w:rPr>
                <w:rFonts w:ascii="Arial" w:hAnsi="Arial"/>
                <w:sz w:val="20"/>
              </w:rPr>
              <w:t>9</w:t>
            </w:r>
          </w:p>
        </w:tc>
        <w:tc>
          <w:tcPr>
            <w:tcW w:type="dxa" w:w="4032"/>
            <w:shd w:fill="F2F7FB" w:val="clear"/>
          </w:tcPr>
          <w:p>
            <w:r/>
            <w:r>
              <w:rPr>
                <w:rFonts w:ascii="Arial" w:hAnsi="Arial"/>
                <w:b/>
                <w:sz w:val="20"/>
              </w:rPr>
              <w:t>Order Book Disclosure Frequency</w:t>
            </w:r>
          </w:p>
        </w:tc>
        <w:tc>
          <w:tcPr>
            <w:tcW w:type="dxa" w:w="1152"/>
            <w:shd w:fill="F2F7FB" w:val="clear"/>
          </w:tcPr>
          <w:p>
            <w:pPr>
              <w:jc w:val="center"/>
            </w:pPr>
            <w:r/>
            <w:r>
              <w:rPr>
                <w:rFonts w:ascii="Arial" w:hAnsi="Arial"/>
                <w:b/>
                <w:color w:val="228B22"/>
                <w:sz w:val="20"/>
              </w:rPr>
              <w:t>3/10</w:t>
            </w:r>
          </w:p>
        </w:tc>
        <w:tc>
          <w:tcPr>
            <w:tcW w:type="dxa" w:w="3600"/>
            <w:shd w:fill="F2F7FB" w:val="clear"/>
          </w:tcPr>
          <w:p>
            <w:r/>
            <w:r>
              <w:rPr>
                <w:rFonts w:ascii="Arial" w:hAnsi="Arial"/>
                <w:sz w:val="18"/>
              </w:rPr>
              <w:t>Order book disclosed only every 6 months. Lack of granular data (by segment, geography) limits investor visibility.</w:t>
            </w:r>
          </w:p>
        </w:tc>
      </w:tr>
    </w:tbl>
    <w:p>
      <w:r>
        <w:br w:type="page"/>
      </w:r>
    </w:p>
    <w:p>
      <w:pPr>
        <w:pStyle w:val="Heading1"/>
      </w:pPr>
      <w:r>
        <w:t>5. Future Financial Projections</w:t>
      </w:r>
    </w:p>
    <w:p>
      <w:r>
        <w:rPr>
          <w:i/>
        </w:rPr>
        <w:t>Based on management guidance of double-digit CAGR, 100% revenue coverage through FY28, and the structural catalysts identified above:</w:t>
      </w:r>
    </w:p>
    <w:p>
      <w:pPr>
        <w:pStyle w:val="Heading2"/>
      </w:pPr>
      <w:r>
        <w:t>Revenue Projections (Value Added Revenue)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1F3864" w:val="clear"/>
          </w:tcPr>
          <w:p>
            <w:r/>
            <w:r>
              <w:rPr>
                <w:rFonts w:ascii="Arial" w:hAnsi="Arial"/>
                <w:b/>
                <w:color w:val="FFFFFF"/>
                <w:sz w:val="20"/>
              </w:rPr>
            </w:r>
          </w:p>
        </w:tc>
        <w:tc>
          <w:tcPr>
            <w:tcW w:type="dxa" w:w="1728"/>
            <w:shd w:fill="1F3864" w:val="clear"/>
          </w:tcPr>
          <w:p>
            <w:r/>
            <w:r>
              <w:rPr>
                <w:rFonts w:ascii="Arial" w:hAnsi="Arial"/>
                <w:b/>
                <w:color w:val="FFFFFF"/>
                <w:sz w:val="20"/>
              </w:rPr>
              <w:t>FY25 (Base)</w:t>
            </w:r>
          </w:p>
        </w:tc>
        <w:tc>
          <w:tcPr>
            <w:tcW w:type="dxa" w:w="1872"/>
            <w:shd w:fill="1F3864" w:val="clear"/>
          </w:tcPr>
          <w:p>
            <w:r/>
            <w:r>
              <w:rPr>
                <w:rFonts w:ascii="Arial" w:hAnsi="Arial"/>
                <w:b/>
                <w:color w:val="FFFFFF"/>
                <w:sz w:val="20"/>
              </w:rPr>
              <w:t>FY26E</w:t>
            </w:r>
          </w:p>
        </w:tc>
        <w:tc>
          <w:tcPr>
            <w:tcW w:type="dxa" w:w="1872"/>
            <w:shd w:fill="1F3864" w:val="clear"/>
          </w:tcPr>
          <w:p>
            <w:r/>
            <w:r>
              <w:rPr>
                <w:rFonts w:ascii="Arial" w:hAnsi="Arial"/>
                <w:b/>
                <w:color w:val="FFFFFF"/>
                <w:sz w:val="20"/>
              </w:rPr>
              <w:t>FY27E</w:t>
            </w:r>
          </w:p>
        </w:tc>
        <w:tc>
          <w:tcPr>
            <w:tcW w:type="dxa" w:w="1872"/>
            <w:shd w:fill="1F3864" w:val="clear"/>
          </w:tcPr>
          <w:p>
            <w:r/>
            <w:r>
              <w:rPr>
                <w:rFonts w:ascii="Arial" w:hAnsi="Arial"/>
                <w:b/>
                <w:color w:val="FFFFFF"/>
                <w:sz w:val="20"/>
              </w:rPr>
              <w:t>FY28E</w:t>
            </w:r>
          </w:p>
        </w:tc>
      </w:tr>
      <w:tr>
        <w:tc>
          <w:tcPr>
            <w:tcW w:type="dxa" w:w="2160"/>
            <w:shd w:fill="F2F7FB" w:val="clear"/>
          </w:tcPr>
          <w:p>
            <w:r/>
            <w:r>
              <w:rPr>
                <w:rFonts w:ascii="Arial" w:hAnsi="Arial"/>
                <w:b/>
                <w:sz w:val="20"/>
              </w:rPr>
              <w:t>VAR (INR Mn)</w:t>
            </w:r>
          </w:p>
        </w:tc>
        <w:tc>
          <w:tcPr>
            <w:tcW w:type="dxa" w:w="1728"/>
            <w:shd w:fill="F2F7FB" w:val="clear"/>
          </w:tcPr>
          <w:p>
            <w:pPr>
              <w:jc w:val="right"/>
            </w:pPr>
            <w:r/>
            <w:r>
              <w:rPr>
                <w:rFonts w:ascii="Arial" w:hAnsi="Arial"/>
                <w:sz w:val="20"/>
              </w:rPr>
              <w:t>43,800</w:t>
            </w:r>
          </w:p>
        </w:tc>
        <w:tc>
          <w:tcPr>
            <w:tcW w:type="dxa" w:w="1872"/>
            <w:shd w:fill="F2F7FB" w:val="clear"/>
          </w:tcPr>
          <w:p>
            <w:pPr>
              <w:jc w:val="right"/>
            </w:pPr>
            <w:r/>
            <w:r>
              <w:rPr>
                <w:rFonts w:ascii="Arial" w:hAnsi="Arial"/>
                <w:sz w:val="20"/>
              </w:rPr>
              <w:t>47,500-48,000</w:t>
            </w:r>
          </w:p>
        </w:tc>
        <w:tc>
          <w:tcPr>
            <w:tcW w:type="dxa" w:w="1872"/>
            <w:shd w:fill="F2F7FB" w:val="clear"/>
          </w:tcPr>
          <w:p>
            <w:pPr>
              <w:jc w:val="right"/>
            </w:pPr>
            <w:r/>
            <w:r>
              <w:rPr>
                <w:rFonts w:ascii="Arial" w:hAnsi="Arial"/>
                <w:sz w:val="20"/>
              </w:rPr>
              <w:t>55,000-58,000</w:t>
            </w:r>
          </w:p>
        </w:tc>
        <w:tc>
          <w:tcPr>
            <w:tcW w:type="dxa" w:w="1872"/>
            <w:shd w:fill="F2F7FB" w:val="clear"/>
          </w:tcPr>
          <w:p>
            <w:pPr>
              <w:jc w:val="right"/>
            </w:pPr>
            <w:r/>
            <w:r>
              <w:rPr>
                <w:rFonts w:ascii="Arial" w:hAnsi="Arial"/>
                <w:sz w:val="20"/>
              </w:rPr>
              <w:t>64,000-68,000</w:t>
            </w:r>
          </w:p>
        </w:tc>
      </w:tr>
      <w:tr>
        <w:tc>
          <w:tcPr>
            <w:tcW w:type="dxa" w:w="2160"/>
          </w:tcPr>
          <w:p>
            <w:r/>
            <w:r>
              <w:rPr>
                <w:rFonts w:ascii="Arial" w:hAnsi="Arial"/>
                <w:b/>
                <w:sz w:val="20"/>
              </w:rPr>
              <w:t>YoY Growth</w:t>
            </w:r>
          </w:p>
        </w:tc>
        <w:tc>
          <w:tcPr>
            <w:tcW w:type="dxa" w:w="1728"/>
          </w:tcPr>
          <w:p>
            <w:pPr>
              <w:jc w:val="right"/>
            </w:pPr>
            <w:r/>
            <w:r>
              <w:rPr>
                <w:rFonts w:ascii="Arial" w:hAnsi="Arial"/>
                <w:sz w:val="20"/>
              </w:rPr>
              <w:t>Base</w:t>
            </w:r>
          </w:p>
        </w:tc>
        <w:tc>
          <w:tcPr>
            <w:tcW w:type="dxa" w:w="1872"/>
          </w:tcPr>
          <w:p>
            <w:pPr>
              <w:jc w:val="right"/>
            </w:pPr>
            <w:r/>
            <w:r>
              <w:rPr>
                <w:rFonts w:ascii="Arial" w:hAnsi="Arial"/>
                <w:sz w:val="20"/>
              </w:rPr>
              <w:t>8-10%</w:t>
            </w:r>
          </w:p>
        </w:tc>
        <w:tc>
          <w:tcPr>
            <w:tcW w:type="dxa" w:w="1872"/>
          </w:tcPr>
          <w:p>
            <w:pPr>
              <w:jc w:val="right"/>
            </w:pPr>
            <w:r/>
            <w:r>
              <w:rPr>
                <w:rFonts w:ascii="Arial" w:hAnsi="Arial"/>
                <w:sz w:val="20"/>
              </w:rPr>
              <w:t>15-20%</w:t>
            </w:r>
          </w:p>
        </w:tc>
        <w:tc>
          <w:tcPr>
            <w:tcW w:type="dxa" w:w="1872"/>
          </w:tcPr>
          <w:p>
            <w:pPr>
              <w:jc w:val="right"/>
            </w:pPr>
            <w:r/>
            <w:r>
              <w:rPr>
                <w:rFonts w:ascii="Arial" w:hAnsi="Arial"/>
                <w:sz w:val="20"/>
              </w:rPr>
              <w:t>16-18%</w:t>
            </w:r>
          </w:p>
        </w:tc>
      </w:tr>
      <w:tr>
        <w:tc>
          <w:tcPr>
            <w:tcW w:type="dxa" w:w="2160"/>
            <w:shd w:fill="F2F7FB" w:val="clear"/>
          </w:tcPr>
          <w:p>
            <w:r/>
            <w:r>
              <w:rPr>
                <w:rFonts w:ascii="Arial" w:hAnsi="Arial"/>
                <w:b/>
                <w:sz w:val="20"/>
              </w:rPr>
              <w:t>ART Growth</w:t>
            </w:r>
          </w:p>
        </w:tc>
        <w:tc>
          <w:tcPr>
            <w:tcW w:type="dxa" w:w="1728"/>
            <w:shd w:fill="F2F7FB" w:val="clear"/>
          </w:tcPr>
          <w:p>
            <w:pPr>
              <w:jc w:val="right"/>
            </w:pPr>
            <w:r/>
            <w:r>
              <w:rPr>
                <w:rFonts w:ascii="Arial" w:hAnsi="Arial"/>
                <w:sz w:val="20"/>
              </w:rPr>
              <w:t>-</w:t>
            </w:r>
          </w:p>
        </w:tc>
        <w:tc>
          <w:tcPr>
            <w:tcW w:type="dxa" w:w="1872"/>
            <w:shd w:fill="F2F7FB" w:val="clear"/>
          </w:tcPr>
          <w:p>
            <w:pPr>
              <w:jc w:val="right"/>
            </w:pPr>
            <w:r/>
            <w:r>
              <w:rPr>
                <w:rFonts w:ascii="Arial" w:hAnsi="Arial"/>
                <w:sz w:val="20"/>
              </w:rPr>
              <w:t>18-22%</w:t>
            </w:r>
          </w:p>
        </w:tc>
        <w:tc>
          <w:tcPr>
            <w:tcW w:type="dxa" w:w="1872"/>
            <w:shd w:fill="F2F7FB" w:val="clear"/>
          </w:tcPr>
          <w:p>
            <w:pPr>
              <w:jc w:val="right"/>
            </w:pPr>
            <w:r/>
            <w:r>
              <w:rPr>
                <w:rFonts w:ascii="Arial" w:hAnsi="Arial"/>
                <w:sz w:val="20"/>
              </w:rPr>
              <w:t>25-30%</w:t>
            </w:r>
          </w:p>
        </w:tc>
        <w:tc>
          <w:tcPr>
            <w:tcW w:type="dxa" w:w="1872"/>
            <w:shd w:fill="F2F7FB" w:val="clear"/>
          </w:tcPr>
          <w:p>
            <w:pPr>
              <w:jc w:val="right"/>
            </w:pPr>
            <w:r/>
            <w:r>
              <w:rPr>
                <w:rFonts w:ascii="Arial" w:hAnsi="Arial"/>
                <w:sz w:val="20"/>
              </w:rPr>
              <w:t>22-25%</w:t>
            </w:r>
          </w:p>
        </w:tc>
      </w:tr>
      <w:tr>
        <w:tc>
          <w:tcPr>
            <w:tcW w:type="dxa" w:w="2160"/>
          </w:tcPr>
          <w:p>
            <w:r/>
            <w:r>
              <w:rPr>
                <w:rFonts w:ascii="Arial" w:hAnsi="Arial"/>
                <w:b/>
                <w:sz w:val="20"/>
              </w:rPr>
              <w:t>Clean Air Growth</w:t>
            </w:r>
          </w:p>
        </w:tc>
        <w:tc>
          <w:tcPr>
            <w:tcW w:type="dxa" w:w="1728"/>
          </w:tcPr>
          <w:p>
            <w:pPr>
              <w:jc w:val="right"/>
            </w:pPr>
            <w:r/>
            <w:r>
              <w:rPr>
                <w:rFonts w:ascii="Arial" w:hAnsi="Arial"/>
                <w:sz w:val="20"/>
              </w:rPr>
              <w:t>-</w:t>
            </w:r>
          </w:p>
        </w:tc>
        <w:tc>
          <w:tcPr>
            <w:tcW w:type="dxa" w:w="1872"/>
          </w:tcPr>
          <w:p>
            <w:pPr>
              <w:jc w:val="right"/>
            </w:pPr>
            <w:r/>
            <w:r>
              <w:rPr>
                <w:rFonts w:ascii="Arial" w:hAnsi="Arial"/>
                <w:sz w:val="20"/>
              </w:rPr>
              <w:t>3-5%</w:t>
            </w:r>
          </w:p>
        </w:tc>
        <w:tc>
          <w:tcPr>
            <w:tcW w:type="dxa" w:w="1872"/>
          </w:tcPr>
          <w:p>
            <w:pPr>
              <w:jc w:val="right"/>
            </w:pPr>
            <w:r/>
            <w:r>
              <w:rPr>
                <w:rFonts w:ascii="Arial" w:hAnsi="Arial"/>
                <w:sz w:val="20"/>
              </w:rPr>
              <w:t>10-14%</w:t>
            </w:r>
          </w:p>
        </w:tc>
        <w:tc>
          <w:tcPr>
            <w:tcW w:type="dxa" w:w="1872"/>
          </w:tcPr>
          <w:p>
            <w:pPr>
              <w:jc w:val="right"/>
            </w:pPr>
            <w:r/>
            <w:r>
              <w:rPr>
                <w:rFonts w:ascii="Arial" w:hAnsi="Arial"/>
                <w:sz w:val="20"/>
              </w:rPr>
              <w:t>12-15%</w:t>
            </w:r>
          </w:p>
        </w:tc>
      </w:tr>
      <w:tr>
        <w:tc>
          <w:tcPr>
            <w:tcW w:type="dxa" w:w="2160"/>
            <w:shd w:fill="F2F7FB" w:val="clear"/>
          </w:tcPr>
          <w:p>
            <w:r/>
            <w:r>
              <w:rPr>
                <w:rFonts w:ascii="Arial" w:hAnsi="Arial"/>
                <w:b/>
                <w:sz w:val="20"/>
              </w:rPr>
              <w:t>Export % of Rev</w:t>
            </w:r>
          </w:p>
        </w:tc>
        <w:tc>
          <w:tcPr>
            <w:tcW w:type="dxa" w:w="1728"/>
            <w:shd w:fill="F2F7FB" w:val="clear"/>
          </w:tcPr>
          <w:p>
            <w:pPr>
              <w:jc w:val="right"/>
            </w:pPr>
            <w:r/>
            <w:r>
              <w:rPr>
                <w:rFonts w:ascii="Arial" w:hAnsi="Arial"/>
                <w:sz w:val="20"/>
              </w:rPr>
              <w:t>5%</w:t>
            </w:r>
          </w:p>
        </w:tc>
        <w:tc>
          <w:tcPr>
            <w:tcW w:type="dxa" w:w="1872"/>
            <w:shd w:fill="F2F7FB" w:val="clear"/>
          </w:tcPr>
          <w:p>
            <w:pPr>
              <w:jc w:val="right"/>
            </w:pPr>
            <w:r/>
            <w:r>
              <w:rPr>
                <w:rFonts w:ascii="Arial" w:hAnsi="Arial"/>
                <w:sz w:val="20"/>
              </w:rPr>
              <w:t>8-10%</w:t>
            </w:r>
          </w:p>
        </w:tc>
        <w:tc>
          <w:tcPr>
            <w:tcW w:type="dxa" w:w="1872"/>
            <w:shd w:fill="F2F7FB" w:val="clear"/>
          </w:tcPr>
          <w:p>
            <w:pPr>
              <w:jc w:val="right"/>
            </w:pPr>
            <w:r/>
            <w:r>
              <w:rPr>
                <w:rFonts w:ascii="Arial" w:hAnsi="Arial"/>
                <w:sz w:val="20"/>
              </w:rPr>
              <w:t>14-16%</w:t>
            </w:r>
          </w:p>
        </w:tc>
        <w:tc>
          <w:tcPr>
            <w:tcW w:type="dxa" w:w="1872"/>
            <w:shd w:fill="F2F7FB" w:val="clear"/>
          </w:tcPr>
          <w:p>
            <w:pPr>
              <w:jc w:val="right"/>
            </w:pPr>
            <w:r/>
            <w:r>
              <w:rPr>
                <w:rFonts w:ascii="Arial" w:hAnsi="Arial"/>
                <w:sz w:val="20"/>
              </w:rPr>
              <w:t>20-22%</w:t>
            </w:r>
          </w:p>
        </w:tc>
      </w:tr>
    </w:tbl>
    <w:p/>
    <w:p>
      <w:pPr>
        <w:pStyle w:val="Heading2"/>
      </w:pPr>
      <w:r>
        <w:t>Profitability Projections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fill="1F3864" w:val="clear"/>
          </w:tcPr>
          <w:p>
            <w:r/>
            <w:r>
              <w:rPr>
                <w:rFonts w:ascii="Arial" w:hAnsi="Arial"/>
                <w:b/>
                <w:color w:val="FFFFFF"/>
                <w:sz w:val="20"/>
              </w:rPr>
            </w:r>
          </w:p>
        </w:tc>
        <w:tc>
          <w:tcPr>
            <w:tcW w:type="dxa" w:w="1728"/>
            <w:shd w:fill="1F3864" w:val="clear"/>
          </w:tcPr>
          <w:p>
            <w:r/>
            <w:r>
              <w:rPr>
                <w:rFonts w:ascii="Arial" w:hAnsi="Arial"/>
                <w:b/>
                <w:color w:val="FFFFFF"/>
                <w:sz w:val="20"/>
              </w:rPr>
              <w:t>FY25</w:t>
            </w:r>
          </w:p>
        </w:tc>
        <w:tc>
          <w:tcPr>
            <w:tcW w:type="dxa" w:w="1872"/>
            <w:shd w:fill="1F3864" w:val="clear"/>
          </w:tcPr>
          <w:p>
            <w:r/>
            <w:r>
              <w:rPr>
                <w:rFonts w:ascii="Arial" w:hAnsi="Arial"/>
                <w:b/>
                <w:color w:val="FFFFFF"/>
                <w:sz w:val="20"/>
              </w:rPr>
              <w:t>FY26E</w:t>
            </w:r>
          </w:p>
        </w:tc>
        <w:tc>
          <w:tcPr>
            <w:tcW w:type="dxa" w:w="1872"/>
            <w:shd w:fill="1F3864" w:val="clear"/>
          </w:tcPr>
          <w:p>
            <w:r/>
            <w:r>
              <w:rPr>
                <w:rFonts w:ascii="Arial" w:hAnsi="Arial"/>
                <w:b/>
                <w:color w:val="FFFFFF"/>
                <w:sz w:val="20"/>
              </w:rPr>
              <w:t>FY27E</w:t>
            </w:r>
          </w:p>
        </w:tc>
        <w:tc>
          <w:tcPr>
            <w:tcW w:type="dxa" w:w="1872"/>
            <w:shd w:fill="1F3864" w:val="clear"/>
          </w:tcPr>
          <w:p>
            <w:r/>
            <w:r>
              <w:rPr>
                <w:rFonts w:ascii="Arial" w:hAnsi="Arial"/>
                <w:b/>
                <w:color w:val="FFFFFF"/>
                <w:sz w:val="20"/>
              </w:rPr>
              <w:t>FY28E</w:t>
            </w:r>
          </w:p>
        </w:tc>
      </w:tr>
      <w:tr>
        <w:tc>
          <w:tcPr>
            <w:tcW w:type="dxa" w:w="2592"/>
            <w:shd w:fill="F2F7FB" w:val="clear"/>
          </w:tcPr>
          <w:p>
            <w:r/>
            <w:r>
              <w:rPr>
                <w:rFonts w:ascii="Arial" w:hAnsi="Arial"/>
                <w:b/>
                <w:sz w:val="20"/>
              </w:rPr>
              <w:t>EBITDA Margin (VAR)</w:t>
            </w:r>
          </w:p>
        </w:tc>
        <w:tc>
          <w:tcPr>
            <w:tcW w:type="dxa" w:w="1728"/>
            <w:shd w:fill="F2F7FB" w:val="clear"/>
          </w:tcPr>
          <w:p>
            <w:pPr>
              <w:jc w:val="right"/>
            </w:pPr>
            <w:r/>
            <w:r>
              <w:rPr>
                <w:rFonts w:ascii="Arial" w:hAnsi="Arial"/>
                <w:sz w:val="20"/>
              </w:rPr>
              <w:t>18.6%</w:t>
            </w:r>
          </w:p>
        </w:tc>
        <w:tc>
          <w:tcPr>
            <w:tcW w:type="dxa" w:w="1872"/>
            <w:shd w:fill="F2F7FB" w:val="clear"/>
          </w:tcPr>
          <w:p>
            <w:pPr>
              <w:jc w:val="right"/>
            </w:pPr>
            <w:r/>
            <w:r>
              <w:rPr>
                <w:rFonts w:ascii="Arial" w:hAnsi="Arial"/>
                <w:sz w:val="20"/>
              </w:rPr>
              <w:t>18.5-19.0%</w:t>
            </w:r>
          </w:p>
        </w:tc>
        <w:tc>
          <w:tcPr>
            <w:tcW w:type="dxa" w:w="1872"/>
            <w:shd w:fill="F2F7FB" w:val="clear"/>
          </w:tcPr>
          <w:p>
            <w:pPr>
              <w:jc w:val="right"/>
            </w:pPr>
            <w:r/>
            <w:r>
              <w:rPr>
                <w:rFonts w:ascii="Arial" w:hAnsi="Arial"/>
                <w:sz w:val="20"/>
              </w:rPr>
              <w:t>19.0-20.0%</w:t>
            </w:r>
          </w:p>
        </w:tc>
        <w:tc>
          <w:tcPr>
            <w:tcW w:type="dxa" w:w="1872"/>
            <w:shd w:fill="F2F7FB" w:val="clear"/>
          </w:tcPr>
          <w:p>
            <w:pPr>
              <w:jc w:val="right"/>
            </w:pPr>
            <w:r/>
            <w:r>
              <w:rPr>
                <w:rFonts w:ascii="Arial" w:hAnsi="Arial"/>
                <w:sz w:val="20"/>
              </w:rPr>
              <w:t>20.0-21.5%</w:t>
            </w:r>
          </w:p>
        </w:tc>
      </w:tr>
      <w:tr>
        <w:tc>
          <w:tcPr>
            <w:tcW w:type="dxa" w:w="2592"/>
          </w:tcPr>
          <w:p>
            <w:r/>
            <w:r>
              <w:rPr>
                <w:rFonts w:ascii="Arial" w:hAnsi="Arial"/>
                <w:b/>
                <w:sz w:val="20"/>
              </w:rPr>
              <w:t>PAT Margin (VAR)</w:t>
            </w:r>
          </w:p>
        </w:tc>
        <w:tc>
          <w:tcPr>
            <w:tcW w:type="dxa" w:w="1728"/>
          </w:tcPr>
          <w:p>
            <w:pPr>
              <w:jc w:val="right"/>
            </w:pPr>
            <w:r/>
            <w:r>
              <w:rPr>
                <w:rFonts w:ascii="Arial" w:hAnsi="Arial"/>
                <w:sz w:val="20"/>
              </w:rPr>
              <w:t>~12%</w:t>
            </w:r>
          </w:p>
        </w:tc>
        <w:tc>
          <w:tcPr>
            <w:tcW w:type="dxa" w:w="1872"/>
          </w:tcPr>
          <w:p>
            <w:pPr>
              <w:jc w:val="right"/>
            </w:pPr>
            <w:r/>
            <w:r>
              <w:rPr>
                <w:rFonts w:ascii="Arial" w:hAnsi="Arial"/>
                <w:sz w:val="20"/>
              </w:rPr>
              <w:t>11.5-12.5%</w:t>
            </w:r>
          </w:p>
        </w:tc>
        <w:tc>
          <w:tcPr>
            <w:tcW w:type="dxa" w:w="1872"/>
          </w:tcPr>
          <w:p>
            <w:pPr>
              <w:jc w:val="right"/>
            </w:pPr>
            <w:r/>
            <w:r>
              <w:rPr>
                <w:rFonts w:ascii="Arial" w:hAnsi="Arial"/>
                <w:sz w:val="20"/>
              </w:rPr>
              <w:t>12.5-13.5%</w:t>
            </w:r>
          </w:p>
        </w:tc>
        <w:tc>
          <w:tcPr>
            <w:tcW w:type="dxa" w:w="1872"/>
          </w:tcPr>
          <w:p>
            <w:pPr>
              <w:jc w:val="right"/>
            </w:pPr>
            <w:r/>
            <w:r>
              <w:rPr>
                <w:rFonts w:ascii="Arial" w:hAnsi="Arial"/>
                <w:sz w:val="20"/>
              </w:rPr>
              <w:t>13.5-14.5%</w:t>
            </w:r>
          </w:p>
        </w:tc>
      </w:tr>
      <w:tr>
        <w:tc>
          <w:tcPr>
            <w:tcW w:type="dxa" w:w="2592"/>
            <w:shd w:fill="F2F7FB" w:val="clear"/>
          </w:tcPr>
          <w:p>
            <w:r/>
            <w:r>
              <w:rPr>
                <w:rFonts w:ascii="Arial" w:hAnsi="Arial"/>
                <w:b/>
                <w:sz w:val="20"/>
              </w:rPr>
              <w:t>ROCE</w:t>
            </w:r>
          </w:p>
        </w:tc>
        <w:tc>
          <w:tcPr>
            <w:tcW w:type="dxa" w:w="1728"/>
            <w:shd w:fill="F2F7FB" w:val="clear"/>
          </w:tcPr>
          <w:p>
            <w:pPr>
              <w:jc w:val="right"/>
            </w:pPr>
            <w:r/>
            <w:r>
              <w:rPr>
                <w:rFonts w:ascii="Arial" w:hAnsi="Arial"/>
                <w:sz w:val="20"/>
              </w:rPr>
              <w:t>~75%</w:t>
            </w:r>
          </w:p>
        </w:tc>
        <w:tc>
          <w:tcPr>
            <w:tcW w:type="dxa" w:w="1872"/>
            <w:shd w:fill="F2F7FB" w:val="clear"/>
          </w:tcPr>
          <w:p>
            <w:pPr>
              <w:jc w:val="right"/>
            </w:pPr>
            <w:r/>
            <w:r>
              <w:rPr>
                <w:rFonts w:ascii="Arial" w:hAnsi="Arial"/>
                <w:sz w:val="20"/>
              </w:rPr>
              <w:t>80%+</w:t>
            </w:r>
          </w:p>
        </w:tc>
        <w:tc>
          <w:tcPr>
            <w:tcW w:type="dxa" w:w="1872"/>
            <w:shd w:fill="F2F7FB" w:val="clear"/>
          </w:tcPr>
          <w:p>
            <w:pPr>
              <w:jc w:val="right"/>
            </w:pPr>
            <w:r/>
            <w:r>
              <w:rPr>
                <w:rFonts w:ascii="Arial" w:hAnsi="Arial"/>
                <w:sz w:val="20"/>
              </w:rPr>
              <w:t>75-80%</w:t>
            </w:r>
          </w:p>
        </w:tc>
        <w:tc>
          <w:tcPr>
            <w:tcW w:type="dxa" w:w="1872"/>
            <w:shd w:fill="F2F7FB" w:val="clear"/>
          </w:tcPr>
          <w:p>
            <w:pPr>
              <w:jc w:val="right"/>
            </w:pPr>
            <w:r/>
            <w:r>
              <w:rPr>
                <w:rFonts w:ascii="Arial" w:hAnsi="Arial"/>
                <w:sz w:val="20"/>
              </w:rPr>
              <w:t>70-75%</w:t>
            </w:r>
          </w:p>
        </w:tc>
      </w:tr>
    </w:tbl>
    <w:p/>
    <w:p>
      <w:r>
        <w:rPr>
          <w:b/>
        </w:rPr>
        <w:t>Key assumptions driving these projections:</w:t>
      </w:r>
    </w:p>
    <w:p>
      <w:pPr>
        <w:pStyle w:val="ListBullet"/>
      </w:pPr>
      <w:r>
        <w:t>DaVinci DCx ramp-up contributing INR 1,500-2,200 Mn annually by FY28 from multiple OEM platforms.</w:t>
      </w:r>
    </w:p>
    <w:p>
      <w:pPr>
        <w:pStyle w:val="ListBullet"/>
      </w:pPr>
      <w:r>
        <w:t>TREM 5 implementation around CY2027 adding INR 800-1,200 Mn in incremental Clean Air content.</w:t>
      </w:r>
    </w:p>
    <w:p>
      <w:pPr>
        <w:pStyle w:val="ListBullet"/>
      </w:pPr>
      <w:r>
        <w:t>Export CAGR of 30-40% from a low base, aided by US/EU tariff reductions and China+1 tailwinds.</w:t>
      </w:r>
    </w:p>
    <w:p>
      <w:pPr>
        <w:pStyle w:val="ListBullet"/>
      </w:pPr>
      <w:r>
        <w:t>Kharkhoda plant SOP in Q3 FY27, reaching steady-state revenue of INR 2,500-2,800 Mn by FY29.</w:t>
      </w:r>
    </w:p>
    <w:p>
      <w:pPr>
        <w:pStyle w:val="ListBullet"/>
      </w:pPr>
      <w:r>
        <w:t>EBITDA margin expansion driven by higher ART mix, export margins, and P3 operating model efficiencies.</w:t>
      </w:r>
    </w:p>
    <w:p>
      <w:pPr>
        <w:pStyle w:val="ListBullet"/>
      </w:pPr>
      <w:r>
        <w:t>ROCE moderation expected as Kharkhoda capex depresses asset turns temporarily before revenue ramp.</w:t>
      </w:r>
    </w:p>
    <w:p>
      <w:r>
        <w:br w:type="page"/>
      </w:r>
    </w:p>
    <w:p>
      <w:pPr>
        <w:pStyle w:val="Heading1"/>
      </w:pPr>
      <w:r>
        <w:t>6. Investment Thesis Summary</w:t>
      </w:r>
    </w:p>
    <w:p>
      <w:pPr>
        <w:pStyle w:val="Heading2"/>
      </w:pPr>
      <w:r>
        <w:t>Bull Case</w:t>
      </w:r>
    </w:p>
    <w:p>
      <w:pPr>
        <w:pStyle w:val="ListBullet"/>
      </w:pPr>
      <w:r>
        <w:t>One of the highest quality auto component businesses in India: 80%+ ROCE, zero debt, negative working capital, 18-19% EBITDA margins.</w:t>
      </w:r>
    </w:p>
    <w:p>
      <w:pPr>
        <w:pStyle w:val="ListBullet"/>
      </w:pPr>
      <w:r>
        <w:t>Multiple structural tailwinds: emission norms escalation, premiumization of Indian vehicles, suspension technology disruption, India as export hub.</w:t>
      </w:r>
    </w:p>
    <w:p>
      <w:pPr>
        <w:pStyle w:val="ListBullet"/>
      </w:pPr>
      <w:r>
        <w:t>DaVinci DCx is a genuine product innovation that can disrupt 90%+ of India's conventional shock absorber market and is patented with multi-year moat.</w:t>
      </w:r>
    </w:p>
    <w:p>
      <w:pPr>
        <w:pStyle w:val="ListBullet"/>
      </w:pPr>
      <w:r>
        <w:t>Order book provides 100% coverage through FY28 with double-digit CAGR visibility, far better than the 5.9% CAGR achieved from FY23-FY25.</w:t>
      </w:r>
    </w:p>
    <w:p>
      <w:pPr>
        <w:pStyle w:val="ListBullet"/>
      </w:pPr>
      <w:r>
        <w:t>Global EV slowdown extends the ICE/hybrid runway, directly benefiting Clean Air and Powertrain business.</w:t>
      </w:r>
    </w:p>
    <w:p>
      <w:pPr>
        <w:pStyle w:val="ListBullet"/>
      </w:pPr>
      <w:r>
        <w:t>Tenneco India is only ~$500 Mn VAR vs parent's $14 Bn VAR, providing massive headroom for consolidation of global operations into India.</w:t>
      </w:r>
    </w:p>
    <w:p>
      <w:pPr>
        <w:pStyle w:val="Heading2"/>
      </w:pPr>
      <w:r>
        <w:t>Bear Case / Risks</w:t>
      </w:r>
    </w:p>
    <w:p>
      <w:pPr>
        <w:pStyle w:val="ListBullet"/>
      </w:pPr>
      <w:r>
        <w:t>Promoter-related risks: Apollo may prioritize global enterprise value over Indian minority shareholder interests. Transfer pricing and royalty structures require constant monitoring.</w:t>
      </w:r>
    </w:p>
    <w:p>
      <w:pPr>
        <w:pStyle w:val="ListBullet"/>
      </w:pPr>
      <w:r>
        <w:t>Commercial vehicle cyclicality can create quarterly volatility in the Clean Air segment.</w:t>
      </w:r>
    </w:p>
    <w:p>
      <w:pPr>
        <w:pStyle w:val="ListBullet"/>
      </w:pPr>
      <w:r>
        <w:t>Segment margin opacity makes it hard to model true profitability of each business vertical.</w:t>
      </w:r>
    </w:p>
    <w:p>
      <w:pPr>
        <w:pStyle w:val="ListBullet"/>
      </w:pPr>
      <w:r>
        <w:t>Regulatory delays (TREM 5, BS7, CAFE) could push out revenue inflection points.</w:t>
      </w:r>
    </w:p>
    <w:p>
      <w:pPr>
        <w:pStyle w:val="ListBullet"/>
      </w:pPr>
      <w:r>
        <w:t>At 90%+ capacity utilization, any execution delays on Kharkhoda could cap near-term growth.</w:t>
      </w:r>
    </w:p>
    <w:p>
      <w:pPr>
        <w:pStyle w:val="ListBullet"/>
      </w:pPr>
      <w:r>
        <w:t>Recently listed company, limited public track record. Management needs to build credibility with institutional investors over time.</w:t>
      </w:r>
    </w:p>
    <w:p>
      <w:pPr>
        <w:pStyle w:val="Heading2"/>
      </w:pPr>
      <w:r>
        <w:t>Overall Assessment</w:t>
      </w:r>
    </w:p>
    <w:p>
      <w:r>
        <w:t>Tenneco Clean Air India is a rare combination of market leadership, capital efficiency, and multiple concurrent growth levers. The transformation from a quiet subsidiary of a global MNC into a listed, high-growth, high-ROCE business with a legitimate technology moat (DaVinci DCx) and export optionality is a compelling structural story. The company is transitioning from a 6% CAGR business to a double-digit CAGR trajectory, and the quality of earnings (negative working capital, zero debt, 80% ROCE) provides a strong margin of safety.</w:t>
      </w:r>
    </w:p>
    <w:p>
      <w:r>
        <w:t>The primary concern is the Apollo/Tenneco parent relationship and the opacity around segment profitability. Investors should monitor related party transactions, royalty structures, and whether management begins disclosing segment margins as the business scales.</w:t>
      </w:r>
    </w:p>
    <w:p>
      <w:r>
        <w:rPr>
          <w:b/>
        </w:rPr>
        <w:t>For a long-term investor, this is one of the more interesting auto component stories in India right now, provided one is comfortable with the promoter structure and the premium valuation the market is likely to assign to such quality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