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spacing w:before="1600"/>
        <w:jc w:val="center"/>
      </w:pPr>
      <w:r>
        <w:rPr>
          <w:rFonts w:ascii="Aptos Display" w:hAnsi="Aptos Display"/>
          <w:b/>
          <w:color w:val="7C3F66"/>
          <w:sz w:val="50"/>
        </w:rPr>
        <w:t xml:space="preserve">DATA SCIENCE ORIENTATION</w:t>
      </w:r>
      <w:r>
        <w:rPr>
          <w:rFonts w:ascii="Aptos Display" w:hAnsi="Aptos Display"/>
          <w:b/>
          <w:color w:val="7C3F66"/>
          <w:sz w:val="50"/>
        </w:rPr>
        <w:br/>
      </w:r>
      <w:r>
        <w:rPr>
          <w:rFonts w:ascii="Aptos Display" w:hAnsi="Aptos Display"/>
          <w:b/>
          <w:color w:val="7C3F66"/>
          <w:sz w:val="50"/>
        </w:rPr>
        <w:t xml:space="preserve">&amp; BUSINESS PROBLEM DEFINITION</w:t>
      </w:r>
    </w:p>
    <w:p>
      <w:pPr>
        <w:pStyle w:val="Normal"/>
        <w:jc w:val="center"/>
      </w:pPr>
      <w:r>
        <w:rPr>
          <w:color w:val="A14F78"/>
          <w:sz w:val="34"/>
        </w:rPr>
        <w:t xml:space="preserve">Beauty &amp; Wellness Industry</w:t>
      </w:r>
    </w:p>
    <w:p>
      <w:pPr>
        <w:pStyle w:val="Normal"/>
      </w:pPr>
    </w:p>
    <w:p>
      <w:pPr>
        <w:pStyle w:val="Normal"/>
        <w:jc w:val="center"/>
      </w:pPr>
      <w:r>
        <w:rPr>
          <w:b/>
          <w:color w:val="37323A"/>
          <w:sz w:val="40"/>
        </w:rPr>
        <w:t xml:space="preserve">Predicting Repeat Purchase and Customer Churn</w:t>
      </w:r>
      <w:r>
        <w:rPr>
          <w:b/>
          <w:color w:val="37323A"/>
          <w:sz w:val="40"/>
        </w:rPr>
        <w:br/>
      </w:r>
      <w:r>
        <w:rPr>
          <w:b/>
          <w:color w:val="37323A"/>
          <w:sz w:val="40"/>
        </w:rPr>
        <w:t xml:space="preserve">for an Online Skincare Brand</w:t>
      </w:r>
    </w:p>
    <w:p>
      <w:pPr>
        <w:pStyle w:val="Normal"/>
      </w:pPr>
    </w:p>
    <w:p>
      <w:pPr>
        <w:pStyle w:val="Normal"/>
        <w:spacing w:before="480"/>
        <w:jc w:val="center"/>
      </w:pPr>
      <w:r>
        <w:rPr>
          <w:b/>
        </w:rPr>
        <w:t xml:space="preserve">WEEK 1 TASK REPORT</w:t>
      </w:r>
    </w:p>
    <w:p>
      <w:pPr>
        <w:pStyle w:val="Normal"/>
        <w:jc w:val="center"/>
      </w:pPr>
      <w:r>
        <w:t xml:space="preserve">Prepared as a conceptual project proposal</w:t>
      </w:r>
      <w:r>
        <w:br/>
      </w:r>
      <w:r>
        <w:t xml:space="preserve">Focus: Business understanding • Marketing insight • Data science methodology</w:t>
      </w:r>
    </w:p>
    <w:p>
      <w:pPr>
        <w:pStyle w:val="Normal"/>
      </w:pPr>
    </w:p>
    <w:p>
      <w:pPr>
        <w:pStyle w:val="Normal"/>
        <w:spacing w:before="1300"/>
        <w:jc w:val="center"/>
      </w:pPr>
      <w:r>
        <w:rPr>
          <w:sz w:val="22"/>
        </w:rPr>
        <w:t xml:space="preserve">Prepared by: RAKSHNI R</w:t>
      </w:r>
      <w:r>
        <w:rPr>
          <w:sz w:val="22"/>
        </w:rPr>
        <w:br/>
      </w:r>
      <w:r>
        <w:rPr>
          <w:sz w:val="22"/>
        </w:rPr>
        <w:t xml:space="preserve">Date: 18 October 2026</w:t>
      </w:r>
    </w:p>
    <w:p>
      <w:pPr>
        <w:pStyle w:val="Normal"/>
      </w:pPr>
      <w:r>
        <w:br w:type="page"/>
      </w:r>
    </w:p>
    <w:p>
      <w:pPr>
        <w:pStyle w:val="Heading 1"/>
        <w:keepNext/>
      </w:pPr>
      <w:r>
        <w:t xml:space="preserve">Executive Summary</w:t>
      </w:r>
    </w:p>
    <w:p>
      <w:pPr>
        <w:pStyle w:val="Normal"/>
      </w:pPr>
      <w:r>
        <w:t xml:space="preserve">This report proposes a data science project for an online skincare retailer: identifying customers who are unlikely to make another purchase and estimating which customers are most likely to return. The beauty and wellness market is increasingly shaped by digital shopping, ingredient-aware consumers, product discovery through social platforms, and expectations of relevant recommendations. In this environment, a brand may attract many first-time buyers but still struggle to convert them into repeat customers. Broad discounts and generic campaigns can waste marketing budgets, reduce margins, and weaken customer trust.</w:t>
      </w:r>
    </w:p>
    <w:p>
      <w:pPr>
        <w:pStyle w:val="Normal"/>
      </w:pPr>
      <w:r>
        <w:t xml:space="preserve">The proposed solution is a customer-retention analytics framework built from historical order, product, engagement, promotion, and review data. The first phase will establish measurable definitions for repeat purchase and inactivity, explore customer behaviour, and build a transparent baseline model. Logistic Regression will provide an interpretable benchmark; Random Forest and gradient-boosted trees may then be tested for improved predictive performance. A customer segmentation layer and an action-oriented dashboard will translate model outputs into marketing decisions.</w:t>
      </w:r>
    </w:p>
    <w:p>
      <w:pPr>
        <w:pStyle w:val="Normal"/>
      </w:pPr>
      <w:r>
        <w:t xml:space="preserve">This is a project proposal, not a completed modelling study. No model has been trained and no performance results are claimed in this report. The proposed hypotheses will be evaluated only after suitable data has been obtained, checked, and analysed. If real customer-level data is unavailable, the project will use a clearly labelled public or synthetic dataset for method demonstration, while acknowledging that synthetic results cannot validate real business outcomes.</w:t>
      </w:r>
    </w:p>
    <w:p>
      <w:pPr>
        <w:pStyle w:val="Heading 1"/>
        <w:keepNext/>
      </w:pPr>
      <w:r>
        <w:t xml:space="preserve">1. Introduction and Business Context</w:t>
      </w:r>
    </w:p>
    <w:p>
      <w:pPr>
        <w:pStyle w:val="Normal"/>
      </w:pPr>
      <w:r>
        <w:t xml:space="preserve">Beauty and wellness businesses sell products and experiences that are closely connected to personal preferences, routines, trust, perceived effectiveness, affordability, and lifestyle. Skincare is especially suitable for customer analytics because many products are replenished over time, consumers may purchase complementary items, and product discovery often involves research, reviews, promotions, and social content.</w:t>
      </w:r>
    </w:p>
    <w:p>
      <w:pPr>
        <w:pStyle w:val="Normal"/>
      </w:pPr>
      <w:r>
        <w:t xml:space="preserve">The business context considered here is a hypothetical direct-to-consumer (D2C) skincare brand operating through an e-</w:t>
      </w:r>
      <w:r>
        <w:t xml:space="preserve">commerce website or marketplace. It sells cleansers, moisturisers, sunscreens, serums, and related personal-care products. The brand can observe transactions and digital engagement, but it may not know which customers need replenishment reminders, which customers are losing interest, or which interventions will be useful rather than intrusive.</w:t>
      </w:r>
    </w:p>
    <w:p>
      <w:pPr>
        <w:pStyle w:val="Normal"/>
      </w:pPr>
      <w:r>
        <w:t xml:space="preserve">The central business question is not simply “Who will stop buying?” It is “Which customers are at risk of becoming inactive, what observable behaviours are associated with that risk, and which relevant, cost-conscious actions should the marketing team test to encourage a second or subsequent purchase?”</w:t>
      </w:r>
    </w:p>
    <w:p>
      <w:pPr>
        <w:pStyle w:val="Heading 1"/>
        <w:keepNext/>
      </w:pPr>
      <w:r>
        <w:t xml:space="preserve">2. Industry Relevance and Trend Research</w:t>
      </w:r>
    </w:p>
    <w:p>
      <w:pPr>
        <w:pStyle w:val="Normal"/>
      </w:pPr>
      <w:r>
        <w:t xml:space="preserve">Public industry research supports the relevance of this problem. Euromonitor International’s India beauty and personal care overview reported a 9% increase in retail sales in 2025 and described growing interest in science-led efficacy, ingredient transparency, wellness-oriented innovation, e-commerce, and tailored engagement. These trends make it important for brands to understand not only acquisition, but also how customers respond after their first order.</w:t>
      </w:r>
    </w:p>
    <w:p>
      <w:pPr>
        <w:pStyle w:val="Normal"/>
      </w:pPr>
      <w:r>
        <w:t xml:space="preserve">NielsenIQ’s June 2025 report, “The Digital Makeover,” described India’s online beauty market as expanding much faster than offline sales and highlighted digital discovery, AI-supported personalisation, and premium online shopping. Its “The New Face of Indian Beauty” report also emphasised ingredient-led skincare, trust, transparency, and the influence of ratings, reviews, and social discovery. These are useful signals that online customer journeys and product information can be relevant features in a retention analysis.</w:t>
      </w:r>
    </w:p>
    <w:p>
      <w:pPr>
        <w:pStyle w:val="Normal"/>
      </w:pPr>
      <w:r>
        <w:t xml:space="preserve">These sources do not prove that any single variable causes repeat purchase. They establish the market context and motivate a testable business problem. A brand should validate its own customer patterns rather than assuming that broad market trends apply equally to every segment.</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04"/>
        <w:gridCol w:w="3744"/>
        <w:gridCol w:w="3456"/>
      </w:tblGrid>
      <w:tr>
        <w:tblPrEx>
          <w:tblBorders/>
        </w:tblPrEx>
        <w:trPr>
          <w:trHeight w:hRule="atLeast" w:val="20"/>
        </w:trPr>
        <w:tc>
          <w:tcPr>
            <w:tcW w:w="2304" w:type="dxa"/>
            <w:tcBorders/>
            <w:shd w:fill="7C3F66" w:color="auto" w:val="clear"/>
            <w:vAlign w:val="center"/>
          </w:tcPr>
          <w:p>
            <w:pPr>
              <w:pStyle w:val="Normal"/>
              <w:spacing w:after="20"/>
            </w:pPr>
            <w:r>
              <w:rPr>
                <w:rFonts w:ascii="Aptos" w:hAnsi="Aptos"/>
                <w:b/>
                <w:color w:val="FFFFFF"/>
                <w:sz w:val="18"/>
              </w:rPr>
              <w:t xml:space="preserve">Observed industry direction</w:t>
            </w:r>
          </w:p>
        </w:tc>
        <w:tc>
          <w:tcPr>
            <w:tcW w:w="3744" w:type="dxa"/>
            <w:tcBorders/>
            <w:shd w:fill="7C3F66" w:color="auto" w:val="clear"/>
            <w:vAlign w:val="center"/>
          </w:tcPr>
          <w:p>
            <w:pPr>
              <w:pStyle w:val="Normal"/>
              <w:spacing w:after="20"/>
            </w:pPr>
            <w:r>
              <w:rPr>
                <w:rFonts w:ascii="Aptos" w:hAnsi="Aptos"/>
                <w:b/>
                <w:color w:val="FFFFFF"/>
                <w:sz w:val="18"/>
              </w:rPr>
              <w:t xml:space="preserve">Why it matters to this project</w:t>
            </w:r>
          </w:p>
        </w:tc>
        <w:tc>
          <w:tcPr>
            <w:tcW w:w="3456" w:type="dxa"/>
            <w:tcBorders/>
            <w:shd w:fill="7C3F66" w:color="auto" w:val="clear"/>
            <w:vAlign w:val="center"/>
          </w:tcPr>
          <w:p>
            <w:pPr>
              <w:pStyle w:val="Normal"/>
              <w:spacing w:after="20"/>
            </w:pPr>
            <w:r>
              <w:rPr>
                <w:rFonts w:ascii="Aptos" w:hAnsi="Aptos"/>
                <w:b/>
                <w:color w:val="FFFFFF"/>
                <w:sz w:val="18"/>
              </w:rPr>
              <w:t xml:space="preserve">Potential measurable signal</w:t>
            </w:r>
          </w:p>
        </w:tc>
      </w:tr>
      <w:tr>
        <w:tblPrEx>
          <w:tblBorders/>
        </w:tblPrEx>
        <w:trPr>
          <w:trHeight w:hRule="atLeast" w:val="20"/>
        </w:trPr>
        <w:tc>
          <w:tcPr>
            <w:tcW w:w="2304" w:type="dxa"/>
            <w:tcBorders/>
            <w:shd w:fill="auto" w:color="auto"/>
            <w:vAlign w:val="center"/>
          </w:tcPr>
          <w:p>
            <w:pPr>
              <w:pStyle w:val="Normal"/>
              <w:spacing w:after="20"/>
            </w:pPr>
            <w:r>
              <w:rPr>
                <w:rFonts w:ascii="Aptos" w:hAnsi="Aptos"/>
                <w:b w:val="0"/>
                <w:sz w:val="17"/>
              </w:rPr>
              <w:t xml:space="preserve">Growth in online beauty shopping</w:t>
            </w:r>
          </w:p>
        </w:tc>
        <w:tc>
          <w:tcPr>
            <w:tcW w:w="3744" w:type="dxa"/>
            <w:tcBorders/>
            <w:shd w:fill="auto" w:color="auto"/>
            <w:vAlign w:val="center"/>
          </w:tcPr>
          <w:p>
            <w:pPr>
              <w:pStyle w:val="Normal"/>
              <w:spacing w:after="20"/>
            </w:pPr>
            <w:r>
              <w:rPr>
                <w:rFonts w:ascii="Aptos" w:hAnsi="Aptos"/>
                <w:b w:val="0"/>
                <w:sz w:val="17"/>
              </w:rPr>
              <w:t xml:space="preserve">More customer interactions and transactions can be observed digitally.</w:t>
            </w:r>
          </w:p>
        </w:tc>
        <w:tc>
          <w:tcPr>
            <w:tcW w:w="3456" w:type="dxa"/>
            <w:tcBorders/>
            <w:shd w:fill="auto" w:color="auto"/>
            <w:vAlign w:val="center"/>
          </w:tcPr>
          <w:p>
            <w:pPr>
              <w:pStyle w:val="Normal"/>
              <w:spacing w:after="20"/>
            </w:pPr>
            <w:r>
              <w:rPr>
                <w:rFonts w:ascii="Aptos" w:hAnsi="Aptos"/>
                <w:b w:val="0"/>
                <w:sz w:val="17"/>
              </w:rPr>
              <w:t xml:space="preserve">Order history, days since last order, channel, website sessions</w:t>
            </w:r>
          </w:p>
        </w:tc>
      </w:tr>
      <w:tr>
        <w:tblPrEx>
          <w:tblBorders/>
        </w:tblPrEx>
        <w:trPr>
          <w:trHeight w:hRule="atLeast" w:val="20"/>
        </w:trPr>
        <w:tc>
          <w:tcPr>
            <w:tcW w:w="2304" w:type="dxa"/>
            <w:tcBorders/>
            <w:shd w:fill="auto" w:color="auto"/>
            <w:vAlign w:val="center"/>
          </w:tcPr>
          <w:p>
            <w:pPr>
              <w:pStyle w:val="Normal"/>
              <w:spacing w:after="20"/>
            </w:pPr>
            <w:r>
              <w:rPr>
                <w:rFonts w:ascii="Aptos" w:hAnsi="Aptos"/>
                <w:b w:val="0"/>
                <w:sz w:val="17"/>
              </w:rPr>
              <w:t xml:space="preserve">Ingredient-led product </w:t>
            </w:r>
            <w:r>
              <w:rPr>
                <w:rFonts w:ascii="Aptos" w:hAnsi="Aptos"/>
                <w:b w:val="0"/>
                <w:sz w:val="17"/>
              </w:rPr>
              <w:t xml:space="preserve">discovery</w:t>
            </w:r>
          </w:p>
        </w:tc>
        <w:tc>
          <w:tcPr>
            <w:tcW w:w="3744" w:type="dxa"/>
            <w:tcBorders/>
            <w:shd w:fill="auto" w:color="auto"/>
            <w:vAlign w:val="center"/>
          </w:tcPr>
          <w:p>
            <w:pPr>
              <w:pStyle w:val="Normal"/>
              <w:spacing w:after="20"/>
            </w:pPr>
            <w:r>
              <w:rPr>
                <w:rFonts w:ascii="Aptos" w:hAnsi="Aptos"/>
                <w:b w:val="0"/>
                <w:sz w:val="17"/>
              </w:rPr>
              <w:t xml:space="preserve">Product category and customer interests may relate </w:t>
            </w:r>
            <w:r>
              <w:rPr>
                <w:rFonts w:ascii="Aptos" w:hAnsi="Aptos"/>
                <w:b w:val="0"/>
                <w:sz w:val="17"/>
              </w:rPr>
              <w:t xml:space="preserve">to replenishment or product switching.</w:t>
            </w:r>
          </w:p>
        </w:tc>
        <w:tc>
          <w:tcPr>
            <w:tcW w:w="3456" w:type="dxa"/>
            <w:tcBorders/>
            <w:shd w:fill="auto" w:color="auto"/>
            <w:vAlign w:val="center"/>
          </w:tcPr>
          <w:p>
            <w:pPr>
              <w:pStyle w:val="Normal"/>
              <w:spacing w:after="20"/>
            </w:pPr>
            <w:r>
              <w:rPr>
                <w:rFonts w:ascii="Aptos" w:hAnsi="Aptos"/>
                <w:b w:val="0"/>
                <w:sz w:val="17"/>
              </w:rPr>
              <w:t xml:space="preserve">Product category, ingredient tags, product-page </w:t>
            </w:r>
            <w:r>
              <w:rPr>
                <w:rFonts w:ascii="Aptos" w:hAnsi="Aptos"/>
                <w:b w:val="0"/>
                <w:sz w:val="17"/>
              </w:rPr>
              <w:t xml:space="preserve">views</w:t>
            </w:r>
          </w:p>
        </w:tc>
      </w:tr>
      <w:tr>
        <w:tblPrEx>
          <w:tblBorders/>
        </w:tblPrEx>
        <w:trPr>
          <w:trHeight w:hRule="atLeast" w:val="20"/>
        </w:trPr>
        <w:tc>
          <w:tcPr>
            <w:tcW w:w="2304" w:type="dxa"/>
            <w:tcBorders/>
            <w:shd w:fill="auto" w:color="auto"/>
            <w:vAlign w:val="center"/>
          </w:tcPr>
          <w:p>
            <w:pPr>
              <w:pStyle w:val="Normal"/>
              <w:spacing w:after="20"/>
            </w:pPr>
            <w:r>
              <w:rPr>
                <w:rFonts w:ascii="Aptos" w:hAnsi="Aptos"/>
                <w:b w:val="0"/>
                <w:sz w:val="17"/>
              </w:rPr>
              <w:t xml:space="preserve">Importance of reviews and trust</w:t>
            </w:r>
          </w:p>
        </w:tc>
        <w:tc>
          <w:tcPr>
            <w:tcW w:w="3744" w:type="dxa"/>
            <w:tcBorders/>
            <w:shd w:fill="auto" w:color="auto"/>
            <w:vAlign w:val="center"/>
          </w:tcPr>
          <w:p>
            <w:pPr>
              <w:pStyle w:val="Normal"/>
              <w:spacing w:after="20"/>
            </w:pPr>
            <w:r>
              <w:rPr>
                <w:rFonts w:ascii="Aptos" w:hAnsi="Aptos"/>
                <w:b w:val="0"/>
                <w:sz w:val="17"/>
              </w:rPr>
              <w:t xml:space="preserve">Feedback may indicate satisfaction, uncertainty, or a product mismatch.</w:t>
            </w:r>
          </w:p>
        </w:tc>
        <w:tc>
          <w:tcPr>
            <w:tcW w:w="3456" w:type="dxa"/>
            <w:tcBorders/>
            <w:shd w:fill="auto" w:color="auto"/>
            <w:vAlign w:val="center"/>
          </w:tcPr>
          <w:p>
            <w:pPr>
              <w:pStyle w:val="Normal"/>
              <w:spacing w:after="20"/>
            </w:pPr>
            <w:r>
              <w:rPr>
                <w:rFonts w:ascii="Aptos" w:hAnsi="Aptos"/>
                <w:b w:val="0"/>
                <w:sz w:val="17"/>
              </w:rPr>
              <w:t xml:space="preserve">Review rating, review text sentiment, complaint/return records</w:t>
            </w:r>
          </w:p>
        </w:tc>
      </w:tr>
      <w:tr>
        <w:tblPrEx>
          <w:tblBorders/>
        </w:tblPrEx>
        <w:trPr>
          <w:trHeight w:hRule="atLeast" w:val="20"/>
        </w:trPr>
        <w:tc>
          <w:tcPr>
            <w:tcW w:w="2304" w:type="dxa"/>
            <w:tcBorders/>
            <w:shd w:fill="auto" w:color="auto"/>
            <w:vAlign w:val="center"/>
          </w:tcPr>
          <w:p>
            <w:pPr>
              <w:pStyle w:val="Normal"/>
              <w:spacing w:after="20"/>
            </w:pPr>
            <w:r>
              <w:rPr>
                <w:rFonts w:ascii="Aptos" w:hAnsi="Aptos"/>
                <w:b w:val="0"/>
                <w:sz w:val="17"/>
              </w:rPr>
              <w:t xml:space="preserve">Personalisation expectations</w:t>
            </w:r>
          </w:p>
        </w:tc>
        <w:tc>
          <w:tcPr>
            <w:tcW w:w="3744" w:type="dxa"/>
            <w:tcBorders/>
            <w:shd w:fill="auto" w:color="auto"/>
            <w:vAlign w:val="center"/>
          </w:tcPr>
          <w:p>
            <w:pPr>
              <w:pStyle w:val="Normal"/>
              <w:spacing w:after="20"/>
            </w:pPr>
            <w:r>
              <w:rPr>
                <w:rFonts w:ascii="Aptos" w:hAnsi="Aptos"/>
                <w:b w:val="0"/>
                <w:sz w:val="17"/>
              </w:rPr>
              <w:t xml:space="preserve">Relevant recommendations may be more useful than generic campaigns.</w:t>
            </w:r>
          </w:p>
        </w:tc>
        <w:tc>
          <w:tcPr>
            <w:tcW w:w="3456" w:type="dxa"/>
            <w:tcBorders/>
            <w:shd w:fill="auto" w:color="auto"/>
            <w:vAlign w:val="center"/>
          </w:tcPr>
          <w:p>
            <w:pPr>
              <w:pStyle w:val="Normal"/>
              <w:spacing w:after="20"/>
            </w:pPr>
            <w:r>
              <w:rPr>
                <w:rFonts w:ascii="Aptos" w:hAnsi="Aptos"/>
                <w:b w:val="0"/>
                <w:sz w:val="17"/>
              </w:rPr>
              <w:t xml:space="preserve">Past category purchases, browsing, email engagement</w:t>
            </w:r>
          </w:p>
        </w:tc>
      </w:tr>
      <w:tr>
        <w:tblPrEx>
          <w:tblBorders/>
        </w:tblPrEx>
        <w:trPr>
          <w:trHeight w:hRule="atLeast" w:val="20"/>
        </w:trPr>
        <w:tc>
          <w:tcPr>
            <w:tcW w:w="2304" w:type="dxa"/>
            <w:tcBorders/>
            <w:shd w:fill="auto" w:color="auto"/>
            <w:vAlign w:val="center"/>
          </w:tcPr>
          <w:p>
            <w:pPr>
              <w:pStyle w:val="Normal"/>
              <w:spacing w:after="20"/>
            </w:pPr>
            <w:r>
              <w:rPr>
                <w:rFonts w:ascii="Aptos" w:hAnsi="Aptos"/>
                <w:b w:val="0"/>
                <w:sz w:val="17"/>
              </w:rPr>
              <w:t xml:space="preserve">Competitive and promotional pressure</w:t>
            </w:r>
          </w:p>
        </w:tc>
        <w:tc>
          <w:tcPr>
            <w:tcW w:w="3744" w:type="dxa"/>
            <w:tcBorders/>
            <w:shd w:fill="auto" w:color="auto"/>
            <w:vAlign w:val="center"/>
          </w:tcPr>
          <w:p>
            <w:pPr>
              <w:pStyle w:val="Normal"/>
              <w:spacing w:after="20"/>
            </w:pPr>
            <w:r>
              <w:rPr>
                <w:rFonts w:ascii="Aptos" w:hAnsi="Aptos"/>
                <w:b w:val="0"/>
                <w:sz w:val="17"/>
              </w:rPr>
              <w:t xml:space="preserve">Discount-led retention can be expensive and may not create durable loyalty.</w:t>
            </w:r>
          </w:p>
        </w:tc>
        <w:tc>
          <w:tcPr>
            <w:tcW w:w="3456" w:type="dxa"/>
            <w:tcBorders/>
            <w:shd w:fill="auto" w:color="auto"/>
            <w:vAlign w:val="center"/>
          </w:tcPr>
          <w:p>
            <w:pPr>
              <w:pStyle w:val="Normal"/>
              <w:spacing w:after="20"/>
            </w:pPr>
            <w:r>
              <w:rPr>
                <w:rFonts w:ascii="Aptos" w:hAnsi="Aptos"/>
                <w:b w:val="0"/>
                <w:sz w:val="17"/>
              </w:rPr>
              <w:t xml:space="preserve">Discount level, coupon use, margin, repeat purchase rate</w:t>
            </w:r>
          </w:p>
        </w:tc>
      </w:tr>
    </w:tbl>
    <w:p>
      <w:pPr>
        <w:pStyle w:val="Normal"/>
        <w:spacing w:after="20"/>
      </w:pPr>
    </w:p>
    <w:p>
      <w:pPr>
        <w:pStyle w:val="Heading 1"/>
        <w:keepNext/>
      </w:pPr>
      <w:r>
        <w:t xml:space="preserve">3. Business Problem Statement</w:t>
      </w:r>
    </w:p>
    <w:p>
      <w:pPr>
        <w:pStyle w:val="Normal"/>
        <w:ind w:left="288" w:right="288"/>
      </w:pPr>
      <w:r>
        <w:rPr>
          <w:b/>
        </w:rPr>
        <w:t xml:space="preserve">An online skincare brand does not have a systematic, evidence-based way to identify customers who are unlikely to make another purchase within a defined future period. As a result, retention campaigns may be generic, poorly timed, or overly dependent on discounts. The project will investigate whether transaction history, product preferences, customer engagement, promotion use, and feedback can help estimate repeat-</w:t>
      </w:r>
      <w:r>
        <w:rPr>
          <w:b/>
        </w:rPr>
        <w:t xml:space="preserve">purchase likelihood and prioritise suitable retention actions.</w:t>
      </w:r>
    </w:p>
    <w:p>
      <w:pPr>
        <w:pStyle w:val="Heading 2"/>
        <w:keepNext/>
      </w:pPr>
      <w:r>
        <w:t xml:space="preserve">3.1 Scope and working definitions</w:t>
      </w:r>
    </w:p>
    <w:p>
      <w:pPr>
        <w:pStyle w:val="List Bullet"/>
        <w:spacing w:after="40"/>
      </w:pPr>
      <w:r>
        <w:t xml:space="preserve">Population: customers with at least one completed online skincare order during the historical observation period.</w:t>
      </w:r>
    </w:p>
    <w:p>
      <w:pPr>
        <w:pStyle w:val="List Bullet"/>
        <w:spacing w:after="40"/>
      </w:pPr>
      <w:r>
        <w:t xml:space="preserve">Unit of analysis: one customer at a defined prediction date (a customer snapshot), rather than one row per individual click.</w:t>
      </w:r>
    </w:p>
    <w:p>
      <w:pPr>
        <w:pStyle w:val="List Bullet"/>
        <w:spacing w:after="40"/>
      </w:pPr>
      <w:r>
        <w:t xml:space="preserve">Prediction target: whether the customer makes another completed purchase within the next 60 days after the prediction date. The 60-day window is a starting assumption and should be adjusted using actual product replenishment cycles.</w:t>
      </w:r>
    </w:p>
    <w:p>
      <w:pPr>
        <w:pStyle w:val="List Bullet"/>
        <w:spacing w:after="40"/>
      </w:pPr>
      <w:r>
        <w:t xml:space="preserve">At-risk customer: a customer with a lower estimated probability of a repeat purchase in the target window. A probability threshold will be selected using validation data and business costs, not chosen arbitrarily.</w:t>
      </w:r>
    </w:p>
    <w:p>
      <w:pPr>
        <w:pStyle w:val="List Bullet"/>
        <w:spacing w:after="40"/>
      </w:pPr>
      <w:r>
        <w:t xml:space="preserve">Repeat purchase: a new completed order from the same customer after their first completed order; cancellations and fully refunded orders should be handled consistently.</w:t>
      </w:r>
    </w:p>
    <w:p>
      <w:pPr>
        <w:pStyle w:val="List Bullet"/>
        <w:spacing w:after="40"/>
      </w:pPr>
      <w:r>
        <w:t xml:space="preserve">Out of scope: diagnosing skin conditions, making medical claims, inferring sensitive traits, or claiming that a marketing action caused retention without an appropriate experiment.</w:t>
      </w:r>
    </w:p>
    <w:p>
      <w:pPr>
        <w:pStyle w:val="Heading 1"/>
        <w:keepNext/>
      </w:pPr>
      <w:r>
        <w:t xml:space="preserve">4. Project Aim, Objectives and Expected Value</w:t>
      </w:r>
    </w:p>
    <w:p>
      <w:pPr>
        <w:pStyle w:val="Normal"/>
      </w:pPr>
      <w:r>
        <w:t xml:space="preserve">Aim: To design and evaluate a data-driven approach for understanding repeat purchase and identifying customers who may need a relevant retention intervention.</w:t>
      </w:r>
    </w:p>
    <w:p>
      <w:pPr>
        <w:pStyle w:val="List Number"/>
        <w:spacing w:after="60"/>
      </w:pPr>
      <w:r>
        <w:t xml:space="preserve">Translate the business concern into a measurable prediction target and a realistic analysis scope.</w:t>
      </w:r>
    </w:p>
    <w:p>
      <w:pPr>
        <w:pStyle w:val="List Number"/>
        <w:spacing w:after="60"/>
      </w:pPr>
      <w:r>
        <w:t xml:space="preserve">Identify and document useful transaction, product, engagement, promotion, and feedback variables.</w:t>
      </w:r>
    </w:p>
    <w:p>
      <w:pPr>
        <w:pStyle w:val="List Number"/>
        <w:spacing w:after="60"/>
      </w:pPr>
      <w:r>
        <w:t xml:space="preserve">Explore customer behaviour, repeat-purchase patterns, and potential differences across product categories and customer groups.</w:t>
      </w:r>
    </w:p>
    <w:p>
      <w:pPr>
        <w:pStyle w:val="List Number"/>
        <w:spacing w:after="60"/>
      </w:pPr>
      <w:r>
        <w:t xml:space="preserve">Develop a reproducible data preparation and modelling workflow with a simple interpretable baseline.</w:t>
      </w:r>
    </w:p>
    <w:p>
      <w:pPr>
        <w:pStyle w:val="List Number"/>
        <w:spacing w:after="60"/>
      </w:pPr>
      <w:r>
        <w:t xml:space="preserve">Compare candidate models using metrics that reflect the class imbalance and the practical cost of missed at-risk customers.</w:t>
      </w:r>
    </w:p>
    <w:p>
      <w:pPr>
        <w:pStyle w:val="List Number"/>
        <w:spacing w:after="60"/>
      </w:pPr>
      <w:r>
        <w:t xml:space="preserve">Convert the analysis into marketing recommendations and a dashboard concept for customer-retention monitoring.</w:t>
      </w:r>
    </w:p>
    <w:p>
      <w:pPr>
        <w:pStyle w:val="List Number"/>
        <w:spacing w:after="60"/>
      </w:pPr>
      <w:r>
        <w:t xml:space="preserve">Document data limitations, privacy safeguards, and the additional evidence needed before operational use.</w:t>
      </w:r>
    </w:p>
    <w:p>
      <w:pPr>
        <w:pStyle w:val="Heading 2"/>
        <w:keepNext/>
      </w:pPr>
      <w:r>
        <w:t xml:space="preserve">4.1 Potential business value</w:t>
      </w:r>
    </w:p>
    <w:p>
      <w:pPr>
        <w:pStyle w:val="List Bullet"/>
        <w:spacing w:after="40"/>
      </w:pPr>
      <w:r>
        <w:t xml:space="preserve">Prioritise outreach toward customers who may benefit from a replenishment reminder, routine education, or a relevant product suggestion.</w:t>
      </w:r>
    </w:p>
    <w:p>
      <w:pPr>
        <w:pStyle w:val="List Bullet"/>
        <w:spacing w:after="40"/>
      </w:pPr>
      <w:r>
        <w:t xml:space="preserve">Reduce unnecessary blanket discounts by testing non-discount interventions where appropriate.</w:t>
      </w:r>
    </w:p>
    <w:p>
      <w:pPr>
        <w:pStyle w:val="List Bullet"/>
        <w:spacing w:after="40"/>
      </w:pPr>
      <w:r>
        <w:t xml:space="preserve">Improve understanding of which product categories, purchase intervals, and engagement patterns are associated with repeat buying.</w:t>
      </w:r>
    </w:p>
    <w:p>
      <w:pPr>
        <w:pStyle w:val="List Bullet"/>
        <w:spacing w:after="40"/>
      </w:pPr>
      <w:r>
        <w:t xml:space="preserve">Help marketing teams track retention using consistent metrics rather than relying only on campaign clicks or total sales.</w:t>
      </w:r>
    </w:p>
    <w:p>
      <w:pPr>
        <w:pStyle w:val="Normal"/>
      </w:pPr>
      <w:r>
        <w:t xml:space="preserve">The financial value is not assumed in advance. It should be estimated after measuring campaign cost, gross margin, incremental conversion, and the difference between treated and comparable control customers.</w:t>
      </w:r>
    </w:p>
    <w:p>
      <w:pPr>
        <w:pStyle w:val="Heading 1"/>
        <w:keepNext/>
      </w:pPr>
      <w:r>
        <w:t xml:space="preserve">5. Research Questions and Hypotheses</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
        <w:gridCol w:w="2880"/>
        <w:gridCol w:w="3600"/>
        <w:gridCol w:w="2232"/>
      </w:tblGrid>
      <w:tr>
        <w:tblPrEx>
          <w:tblBorders/>
        </w:tblPrEx>
        <w:trPr>
          <w:trHeight w:hRule="atLeast" w:val="20"/>
        </w:trPr>
        <w:tc>
          <w:tcPr>
            <w:tcW w:w="936" w:type="dxa"/>
            <w:tcBorders/>
            <w:shd w:fill="7C3F66" w:color="auto" w:val="clear"/>
            <w:vAlign w:val="center"/>
          </w:tcPr>
          <w:p>
            <w:pPr>
              <w:pStyle w:val="Normal"/>
              <w:spacing w:after="20"/>
            </w:pPr>
            <w:r>
              <w:rPr>
                <w:rFonts w:ascii="Aptos" w:hAnsi="Aptos"/>
                <w:b/>
                <w:color w:val="FFFFFF"/>
                <w:sz w:val="18"/>
              </w:rPr>
              <w:t xml:space="preserve">ID</w:t>
            </w:r>
          </w:p>
        </w:tc>
        <w:tc>
          <w:tcPr>
            <w:tcW w:w="2880" w:type="dxa"/>
            <w:tcBorders/>
            <w:shd w:fill="7C3F66" w:color="auto" w:val="clear"/>
            <w:vAlign w:val="center"/>
          </w:tcPr>
          <w:p>
            <w:pPr>
              <w:pStyle w:val="Normal"/>
              <w:spacing w:after="20"/>
            </w:pPr>
            <w:r>
              <w:rPr>
                <w:rFonts w:ascii="Aptos" w:hAnsi="Aptos"/>
                <w:b/>
                <w:color w:val="FFFFFF"/>
                <w:sz w:val="18"/>
              </w:rPr>
              <w:t xml:space="preserve">Research question</w:t>
            </w:r>
          </w:p>
        </w:tc>
        <w:tc>
          <w:tcPr>
            <w:tcW w:w="3600" w:type="dxa"/>
            <w:tcBorders/>
            <w:shd w:fill="7C3F66" w:color="auto" w:val="clear"/>
            <w:vAlign w:val="center"/>
          </w:tcPr>
          <w:p>
            <w:pPr>
              <w:pStyle w:val="Normal"/>
              <w:spacing w:after="20"/>
            </w:pPr>
            <w:r>
              <w:rPr>
                <w:rFonts w:ascii="Aptos" w:hAnsi="Aptos"/>
                <w:b/>
                <w:color w:val="FFFFFF"/>
                <w:sz w:val="18"/>
              </w:rPr>
              <w:t xml:space="preserve">Hypothesis to test</w:t>
            </w:r>
          </w:p>
        </w:tc>
        <w:tc>
          <w:tcPr>
            <w:tcW w:w="2232" w:type="dxa"/>
            <w:tcBorders/>
            <w:shd w:fill="7C3F66" w:color="auto" w:val="clear"/>
            <w:vAlign w:val="center"/>
          </w:tcPr>
          <w:p>
            <w:pPr>
              <w:pStyle w:val="Normal"/>
              <w:spacing w:after="20"/>
            </w:pPr>
            <w:r>
              <w:rPr>
                <w:rFonts w:ascii="Aptos" w:hAnsi="Aptos"/>
                <w:b/>
                <w:color w:val="FFFFFF"/>
                <w:sz w:val="18"/>
              </w:rPr>
              <w:t xml:space="preserve">Evidence / test</w:t>
            </w:r>
          </w:p>
        </w:tc>
      </w:tr>
      <w:tr>
        <w:tblPrEx>
          <w:tblBorders/>
        </w:tblPrEx>
        <w:trPr>
          <w:trHeight w:hRule="atLeast" w:val="20"/>
        </w:trPr>
        <w:tc>
          <w:tcPr>
            <w:tcW w:w="936" w:type="dxa"/>
            <w:tcBorders/>
            <w:shd w:fill="auto" w:color="auto"/>
            <w:vAlign w:val="center"/>
          </w:tcPr>
          <w:p>
            <w:pPr>
              <w:pStyle w:val="Normal"/>
              <w:spacing w:after="20"/>
            </w:pPr>
            <w:r>
              <w:rPr>
                <w:rFonts w:ascii="Aptos" w:hAnsi="Aptos"/>
                <w:b w:val="0"/>
                <w:sz w:val="17"/>
              </w:rPr>
              <w:t xml:space="preserve">RQ1 / H1</w:t>
            </w:r>
          </w:p>
        </w:tc>
        <w:tc>
          <w:tcPr>
            <w:tcW w:w="2880" w:type="dxa"/>
            <w:tcBorders/>
            <w:shd w:fill="auto" w:color="auto"/>
            <w:vAlign w:val="center"/>
          </w:tcPr>
          <w:p>
            <w:pPr>
              <w:pStyle w:val="Normal"/>
              <w:spacing w:after="20"/>
            </w:pPr>
            <w:r>
              <w:rPr>
                <w:rFonts w:ascii="Aptos" w:hAnsi="Aptos"/>
                <w:b w:val="0"/>
                <w:sz w:val="17"/>
              </w:rPr>
              <w:t xml:space="preserve">Are purchase recency, frequency, and monetary value associated with repeat purchase?</w:t>
            </w:r>
          </w:p>
        </w:tc>
        <w:tc>
          <w:tcPr>
            <w:tcW w:w="3600" w:type="dxa"/>
            <w:tcBorders/>
            <w:shd w:fill="auto" w:color="auto"/>
            <w:vAlign w:val="center"/>
          </w:tcPr>
          <w:p>
            <w:pPr>
              <w:pStyle w:val="Normal"/>
              <w:spacing w:after="20"/>
            </w:pPr>
            <w:r>
              <w:rPr>
                <w:rFonts w:ascii="Aptos" w:hAnsi="Aptos"/>
                <w:b w:val="0"/>
                <w:sz w:val="17"/>
              </w:rPr>
              <w:t xml:space="preserve">Customers with more recent and repeated purchases will, on average, show a different and potentially higher repeat-purchase rate than one-</w:t>
            </w:r>
            <w:r>
              <w:rPr>
                <w:rFonts w:ascii="Aptos" w:hAnsi="Aptos"/>
                <w:b w:val="0"/>
                <w:sz w:val="17"/>
              </w:rPr>
              <w:t xml:space="preserve">time customers.</w:t>
            </w:r>
          </w:p>
        </w:tc>
        <w:tc>
          <w:tcPr>
            <w:tcW w:w="2232" w:type="dxa"/>
            <w:tcBorders/>
            <w:shd w:fill="auto" w:color="auto"/>
            <w:vAlign w:val="center"/>
          </w:tcPr>
          <w:p>
            <w:pPr>
              <w:pStyle w:val="Normal"/>
              <w:spacing w:after="20"/>
            </w:pPr>
            <w:r>
              <w:rPr>
                <w:rFonts w:ascii="Aptos" w:hAnsi="Aptos"/>
                <w:b w:val="0"/>
                <w:sz w:val="17"/>
              </w:rPr>
              <w:t xml:space="preserve">Cohort analysis; RFM summaries; logistic regression</w:t>
            </w:r>
          </w:p>
        </w:tc>
      </w:tr>
      <w:tr>
        <w:tblPrEx>
          <w:tblBorders/>
        </w:tblPrEx>
        <w:trPr>
          <w:trHeight w:hRule="atLeast" w:val="20"/>
        </w:trPr>
        <w:tc>
          <w:tcPr>
            <w:tcW w:w="936" w:type="dxa"/>
            <w:tcBorders/>
            <w:shd w:fill="auto" w:color="auto"/>
            <w:vAlign w:val="center"/>
          </w:tcPr>
          <w:p>
            <w:pPr>
              <w:pStyle w:val="Normal"/>
              <w:spacing w:after="20"/>
            </w:pPr>
            <w:r>
              <w:rPr>
                <w:rFonts w:ascii="Aptos" w:hAnsi="Aptos"/>
                <w:b w:val="0"/>
                <w:sz w:val="17"/>
              </w:rPr>
              <w:t xml:space="preserve">RQ2 / H2</w:t>
            </w:r>
          </w:p>
        </w:tc>
        <w:tc>
          <w:tcPr>
            <w:tcW w:w="2880" w:type="dxa"/>
            <w:tcBorders/>
            <w:shd w:fill="auto" w:color="auto"/>
            <w:vAlign w:val="center"/>
          </w:tcPr>
          <w:p>
            <w:pPr>
              <w:pStyle w:val="Normal"/>
              <w:spacing w:after="20"/>
            </w:pPr>
            <w:r>
              <w:rPr>
                <w:rFonts w:ascii="Aptos" w:hAnsi="Aptos"/>
                <w:b w:val="0"/>
                <w:sz w:val="17"/>
              </w:rPr>
              <w:t xml:space="preserve">Does product category or basket composition relate to return behaviour?</w:t>
            </w:r>
          </w:p>
        </w:tc>
        <w:tc>
          <w:tcPr>
            <w:tcW w:w="3600" w:type="dxa"/>
            <w:tcBorders/>
            <w:shd w:fill="auto" w:color="auto"/>
            <w:vAlign w:val="center"/>
          </w:tcPr>
          <w:p>
            <w:pPr>
              <w:pStyle w:val="Normal"/>
              <w:spacing w:after="20"/>
            </w:pPr>
            <w:r>
              <w:rPr>
                <w:rFonts w:ascii="Aptos" w:hAnsi="Aptos"/>
                <w:b w:val="0"/>
                <w:sz w:val="17"/>
              </w:rPr>
              <w:t xml:space="preserve">Repeat-purchase rates and time-to-next-order will vary by category and basket composition.</w:t>
            </w:r>
          </w:p>
        </w:tc>
        <w:tc>
          <w:tcPr>
            <w:tcW w:w="2232" w:type="dxa"/>
            <w:tcBorders/>
            <w:shd w:fill="auto" w:color="auto"/>
            <w:vAlign w:val="center"/>
          </w:tcPr>
          <w:p>
            <w:pPr>
              <w:pStyle w:val="Normal"/>
              <w:spacing w:after="20"/>
            </w:pPr>
            <w:r>
              <w:rPr>
                <w:rFonts w:ascii="Aptos" w:hAnsi="Aptos"/>
                <w:b w:val="0"/>
                <w:sz w:val="17"/>
              </w:rPr>
              <w:t xml:space="preserve">Category comparisons; survival/time-to-event exploration if data permits</w:t>
            </w:r>
          </w:p>
        </w:tc>
      </w:tr>
      <w:tr>
        <w:tblPrEx>
          <w:tblBorders/>
        </w:tblPrEx>
        <w:trPr>
          <w:trHeight w:hRule="atLeast" w:val="20"/>
        </w:trPr>
        <w:tc>
          <w:tcPr>
            <w:tcW w:w="936" w:type="dxa"/>
            <w:tcBorders/>
            <w:shd w:fill="auto" w:color="auto"/>
            <w:vAlign w:val="center"/>
          </w:tcPr>
          <w:p>
            <w:pPr>
              <w:pStyle w:val="Normal"/>
              <w:spacing w:after="20"/>
            </w:pPr>
            <w:r>
              <w:rPr>
                <w:rFonts w:ascii="Aptos" w:hAnsi="Aptos"/>
                <w:b w:val="0"/>
                <w:sz w:val="17"/>
              </w:rPr>
              <w:t xml:space="preserve">RQ3 / H3</w:t>
            </w:r>
          </w:p>
        </w:tc>
        <w:tc>
          <w:tcPr>
            <w:tcW w:w="2880" w:type="dxa"/>
            <w:tcBorders/>
            <w:shd w:fill="auto" w:color="auto"/>
            <w:vAlign w:val="center"/>
          </w:tcPr>
          <w:p>
            <w:pPr>
              <w:pStyle w:val="Normal"/>
              <w:spacing w:after="20"/>
            </w:pPr>
            <w:r>
              <w:rPr>
                <w:rFonts w:ascii="Aptos" w:hAnsi="Aptos"/>
                <w:b w:val="0"/>
                <w:sz w:val="17"/>
              </w:rPr>
              <w:t xml:space="preserve">Are engagement signals associated with future purchase?</w:t>
            </w:r>
          </w:p>
        </w:tc>
        <w:tc>
          <w:tcPr>
            <w:tcW w:w="3600" w:type="dxa"/>
            <w:tcBorders/>
            <w:shd w:fill="auto" w:color="auto"/>
            <w:vAlign w:val="center"/>
          </w:tcPr>
          <w:p>
            <w:pPr>
              <w:pStyle w:val="Normal"/>
              <w:spacing w:after="20"/>
            </w:pPr>
            <w:r>
              <w:rPr>
                <w:rFonts w:ascii="Aptos" w:hAnsi="Aptos"/>
                <w:b w:val="0"/>
                <w:sz w:val="17"/>
              </w:rPr>
              <w:t xml:space="preserve">Recent product views, email clicks, and relevant site engagement may provide predictive information beyond transaction history alone.</w:t>
            </w:r>
          </w:p>
        </w:tc>
        <w:tc>
          <w:tcPr>
            <w:tcW w:w="2232" w:type="dxa"/>
            <w:tcBorders/>
            <w:shd w:fill="auto" w:color="auto"/>
            <w:vAlign w:val="center"/>
          </w:tcPr>
          <w:p>
            <w:pPr>
              <w:pStyle w:val="Normal"/>
              <w:spacing w:after="20"/>
            </w:pPr>
            <w:r>
              <w:rPr>
                <w:rFonts w:ascii="Aptos" w:hAnsi="Aptos"/>
                <w:b w:val="0"/>
                <w:sz w:val="17"/>
              </w:rPr>
              <w:t xml:space="preserve">Feature importance; ablation comparison with and without engagement features</w:t>
            </w:r>
          </w:p>
        </w:tc>
      </w:tr>
      <w:tr>
        <w:tblPrEx>
          <w:tblBorders/>
        </w:tblPrEx>
        <w:trPr>
          <w:trHeight w:hRule="atLeast" w:val="20"/>
        </w:trPr>
        <w:tc>
          <w:tcPr>
            <w:tcW w:w="936" w:type="dxa"/>
            <w:tcBorders/>
            <w:shd w:fill="auto" w:color="auto"/>
            <w:vAlign w:val="center"/>
          </w:tcPr>
          <w:p>
            <w:pPr>
              <w:pStyle w:val="Normal"/>
              <w:spacing w:after="20"/>
            </w:pPr>
            <w:r>
              <w:rPr>
                <w:rFonts w:ascii="Aptos" w:hAnsi="Aptos"/>
                <w:b w:val="0"/>
                <w:sz w:val="17"/>
              </w:rPr>
              <w:t xml:space="preserve">RQ4 / H4</w:t>
            </w:r>
          </w:p>
        </w:tc>
        <w:tc>
          <w:tcPr>
            <w:tcW w:w="2880" w:type="dxa"/>
            <w:tcBorders/>
            <w:shd w:fill="auto" w:color="auto"/>
            <w:vAlign w:val="center"/>
          </w:tcPr>
          <w:p>
            <w:pPr>
              <w:pStyle w:val="Normal"/>
              <w:spacing w:after="20"/>
            </w:pPr>
            <w:r>
              <w:rPr>
                <w:rFonts w:ascii="Aptos" w:hAnsi="Aptos"/>
                <w:b w:val="0"/>
                <w:sz w:val="17"/>
              </w:rPr>
              <w:t xml:space="preserve">Are promotion patterns associated with retention?</w:t>
            </w:r>
          </w:p>
        </w:tc>
        <w:tc>
          <w:tcPr>
            <w:tcW w:w="3600" w:type="dxa"/>
            <w:tcBorders/>
            <w:shd w:fill="auto" w:color="auto"/>
            <w:vAlign w:val="center"/>
          </w:tcPr>
          <w:p>
            <w:pPr>
              <w:pStyle w:val="Normal"/>
              <w:spacing w:after="20"/>
            </w:pPr>
            <w:r>
              <w:rPr>
                <w:rFonts w:ascii="Aptos" w:hAnsi="Aptos"/>
                <w:b w:val="0"/>
                <w:sz w:val="17"/>
              </w:rPr>
              <w:t xml:space="preserve">Customers who rely heavily on discounts may behave differently from customers who purchase without discounts.</w:t>
            </w:r>
          </w:p>
        </w:tc>
        <w:tc>
          <w:tcPr>
            <w:tcW w:w="2232" w:type="dxa"/>
            <w:tcBorders/>
            <w:shd w:fill="auto" w:color="auto"/>
            <w:vAlign w:val="center"/>
          </w:tcPr>
          <w:p>
            <w:pPr>
              <w:pStyle w:val="Normal"/>
              <w:spacing w:after="20"/>
            </w:pPr>
            <w:r>
              <w:rPr>
                <w:rFonts w:ascii="Aptos" w:hAnsi="Aptos"/>
                <w:b w:val="0"/>
                <w:sz w:val="17"/>
              </w:rPr>
              <w:t xml:space="preserve">Segment comparisons; discount interaction terms; margin-aware analysis</w:t>
            </w:r>
          </w:p>
        </w:tc>
      </w:tr>
      <w:tr>
        <w:tblPrEx>
          <w:tblBorders/>
        </w:tblPrEx>
        <w:trPr>
          <w:trHeight w:hRule="atLeast" w:val="20"/>
        </w:trPr>
        <w:tc>
          <w:tcPr>
            <w:tcW w:w="936" w:type="dxa"/>
            <w:tcBorders/>
            <w:shd w:fill="auto" w:color="auto"/>
            <w:vAlign w:val="center"/>
          </w:tcPr>
          <w:p>
            <w:pPr>
              <w:pStyle w:val="Normal"/>
              <w:spacing w:after="20"/>
            </w:pPr>
            <w:r>
              <w:rPr>
                <w:rFonts w:ascii="Aptos" w:hAnsi="Aptos"/>
                <w:b w:val="0"/>
                <w:sz w:val="17"/>
              </w:rPr>
              <w:t xml:space="preserve">RQ5 / H5</w:t>
            </w:r>
          </w:p>
        </w:tc>
        <w:tc>
          <w:tcPr>
            <w:tcW w:w="2880" w:type="dxa"/>
            <w:tcBorders/>
            <w:shd w:fill="auto" w:color="auto"/>
            <w:vAlign w:val="center"/>
          </w:tcPr>
          <w:p>
            <w:pPr>
              <w:pStyle w:val="Normal"/>
              <w:spacing w:after="20"/>
            </w:pPr>
            <w:r>
              <w:rPr>
                <w:rFonts w:ascii="Aptos" w:hAnsi="Aptos"/>
                <w:b w:val="0"/>
                <w:sz w:val="17"/>
              </w:rPr>
              <w:t xml:space="preserve">Can a supervised model rank customers by repeat-purchase likelihood better than a simple baseline?</w:t>
            </w:r>
          </w:p>
        </w:tc>
        <w:tc>
          <w:tcPr>
            <w:tcW w:w="3600" w:type="dxa"/>
            <w:tcBorders/>
            <w:shd w:fill="auto" w:color="auto"/>
            <w:vAlign w:val="center"/>
          </w:tcPr>
          <w:p>
            <w:pPr>
              <w:pStyle w:val="Normal"/>
              <w:spacing w:after="20"/>
            </w:pPr>
            <w:r>
              <w:rPr>
                <w:rFonts w:ascii="Aptos" w:hAnsi="Aptos"/>
                <w:b w:val="0"/>
                <w:sz w:val="17"/>
              </w:rPr>
              <w:t xml:space="preserve">A validated model will outperform a majority-</w:t>
            </w:r>
            <w:r>
              <w:rPr>
                <w:rFonts w:ascii="Aptos" w:hAnsi="Aptos"/>
                <w:b w:val="0"/>
                <w:sz w:val="17"/>
              </w:rPr>
              <w:t xml:space="preserve">class or simple recency-only baseline on at least one preselected business-relevant metric.</w:t>
            </w:r>
          </w:p>
        </w:tc>
        <w:tc>
          <w:tcPr>
            <w:tcW w:w="2232" w:type="dxa"/>
            <w:tcBorders/>
            <w:shd w:fill="auto" w:color="auto"/>
            <w:vAlign w:val="center"/>
          </w:tcPr>
          <w:p>
            <w:pPr>
              <w:pStyle w:val="Normal"/>
              <w:spacing w:after="20"/>
            </w:pPr>
            <w:r>
              <w:rPr>
                <w:rFonts w:ascii="Aptos" w:hAnsi="Aptos"/>
                <w:b w:val="0"/>
                <w:sz w:val="17"/>
              </w:rPr>
              <w:t xml:space="preserve">Temporal holdout; PR-AUC, recall, precision, calibration</w:t>
            </w:r>
          </w:p>
        </w:tc>
      </w:tr>
      <w:tr>
        <w:tblPrEx>
          <w:tblBorders/>
        </w:tblPrEx>
        <w:trPr>
          <w:trHeight w:hRule="atLeast" w:val="20"/>
        </w:trPr>
        <w:tc>
          <w:tcPr>
            <w:tcW w:w="936" w:type="dxa"/>
            <w:tcBorders/>
            <w:shd w:fill="auto" w:color="auto"/>
            <w:vAlign w:val="center"/>
          </w:tcPr>
          <w:p>
            <w:pPr>
              <w:pStyle w:val="Normal"/>
              <w:spacing w:after="20"/>
            </w:pPr>
            <w:r>
              <w:rPr>
                <w:rFonts w:ascii="Aptos" w:hAnsi="Aptos"/>
                <w:b w:val="0"/>
                <w:sz w:val="17"/>
              </w:rPr>
              <w:t xml:space="preserve">RQ6 / H6</w:t>
            </w:r>
          </w:p>
        </w:tc>
        <w:tc>
          <w:tcPr>
            <w:tcW w:w="2880" w:type="dxa"/>
            <w:tcBorders/>
            <w:shd w:fill="auto" w:color="auto"/>
            <w:vAlign w:val="center"/>
          </w:tcPr>
          <w:p>
            <w:pPr>
              <w:pStyle w:val="Normal"/>
              <w:spacing w:after="20"/>
            </w:pPr>
            <w:r>
              <w:rPr>
                <w:rFonts w:ascii="Aptos" w:hAnsi="Aptos"/>
                <w:b w:val="0"/>
                <w:sz w:val="17"/>
              </w:rPr>
              <w:t xml:space="preserve">Can a targeted intervention improve repeat purchase?</w:t>
            </w:r>
          </w:p>
        </w:tc>
        <w:tc>
          <w:tcPr>
            <w:tcW w:w="3600" w:type="dxa"/>
            <w:tcBorders/>
            <w:shd w:fill="auto" w:color="auto"/>
            <w:vAlign w:val="center"/>
          </w:tcPr>
          <w:p>
            <w:pPr>
              <w:pStyle w:val="Normal"/>
              <w:spacing w:after="20"/>
            </w:pPr>
            <w:r>
              <w:rPr>
                <w:rFonts w:ascii="Aptos" w:hAnsi="Aptos"/>
                <w:b w:val="0"/>
                <w:sz w:val="17"/>
              </w:rPr>
              <w:t xml:space="preserve">A relevant reminder or recommendation may increase repeat purchase compared with no intervention.</w:t>
            </w:r>
          </w:p>
        </w:tc>
        <w:tc>
          <w:tcPr>
            <w:tcW w:w="2232" w:type="dxa"/>
            <w:tcBorders/>
            <w:shd w:fill="auto" w:color="auto"/>
            <w:vAlign w:val="center"/>
          </w:tcPr>
          <w:p>
            <w:pPr>
              <w:pStyle w:val="Normal"/>
              <w:spacing w:after="20"/>
            </w:pPr>
            <w:r>
              <w:rPr>
                <w:rFonts w:ascii="Aptos" w:hAnsi="Aptos"/>
                <w:b w:val="0"/>
                <w:sz w:val="17"/>
              </w:rPr>
              <w:t xml:space="preserve">Future A/B test with random assignment; not answerable from observational prediction alone</w:t>
            </w:r>
          </w:p>
        </w:tc>
      </w:tr>
    </w:tbl>
    <w:p>
      <w:pPr>
        <w:pStyle w:val="Normal"/>
        <w:spacing w:after="20"/>
      </w:pPr>
    </w:p>
    <w:p>
      <w:pPr>
        <w:pStyle w:val="Normal"/>
      </w:pPr>
      <w:r>
        <w:t xml:space="preserve">These are hypotheses, not findings. H1–H5 can be investigated using suitable historical data. H6 requires a controlled intervention or another credible causal design; predictive correlations alone cannot establish that a campaign causes additional purchases.</w:t>
      </w:r>
    </w:p>
    <w:p>
      <w:pPr>
        <w:pStyle w:val="Heading 1"/>
        <w:keepNext/>
      </w:pPr>
      <w:r>
        <w:t xml:space="preserve">6. Data Requirements and Variable Design</w:t>
      </w:r>
    </w:p>
    <w:p>
      <w:pPr>
        <w:pStyle w:val="Normal"/>
      </w:pPr>
      <w:r>
        <w:t xml:space="preserve">The preferred dataset is anonymised customer-level e-commerce data with order timestamps and stable pseudonymous customer IDs. A practical minimum includes order history and product metadata. Engagement and review information are useful enhancements but are not mandatory for a first baseline.</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3744"/>
        <w:gridCol w:w="4104"/>
      </w:tblGrid>
      <w:tr>
        <w:tblPrEx>
          <w:tblBorders/>
        </w:tblPrEx>
        <w:trPr>
          <w:trHeight w:hRule="atLeast" w:val="20"/>
        </w:trPr>
        <w:tc>
          <w:tcPr>
            <w:tcW w:w="1800" w:type="dxa"/>
            <w:tcBorders/>
            <w:shd w:fill="7C3F66" w:color="auto" w:val="clear"/>
            <w:vAlign w:val="center"/>
          </w:tcPr>
          <w:p>
            <w:pPr>
              <w:pStyle w:val="Normal"/>
              <w:spacing w:after="20"/>
            </w:pPr>
            <w:r>
              <w:rPr>
                <w:rFonts w:ascii="Aptos" w:hAnsi="Aptos"/>
                <w:b/>
                <w:color w:val="FFFFFF"/>
                <w:sz w:val="18"/>
              </w:rPr>
              <w:t xml:space="preserve">Data group</w:t>
            </w:r>
          </w:p>
        </w:tc>
        <w:tc>
          <w:tcPr>
            <w:tcW w:w="3744" w:type="dxa"/>
            <w:tcBorders/>
            <w:shd w:fill="7C3F66" w:color="auto" w:val="clear"/>
            <w:vAlign w:val="center"/>
          </w:tcPr>
          <w:p>
            <w:pPr>
              <w:pStyle w:val="Normal"/>
              <w:spacing w:after="20"/>
            </w:pPr>
            <w:r>
              <w:rPr>
                <w:rFonts w:ascii="Aptos" w:hAnsi="Aptos"/>
                <w:b/>
                <w:color w:val="FFFFFF"/>
                <w:sz w:val="18"/>
              </w:rPr>
              <w:t xml:space="preserve">Example variables</w:t>
            </w:r>
          </w:p>
        </w:tc>
        <w:tc>
          <w:tcPr>
            <w:tcW w:w="4104" w:type="dxa"/>
            <w:tcBorders/>
            <w:shd w:fill="7C3F66" w:color="auto" w:val="clear"/>
            <w:vAlign w:val="center"/>
          </w:tcPr>
          <w:p>
            <w:pPr>
              <w:pStyle w:val="Normal"/>
              <w:spacing w:after="20"/>
            </w:pPr>
            <w:r>
              <w:rPr>
                <w:rFonts w:ascii="Aptos" w:hAnsi="Aptos"/>
                <w:b/>
                <w:color w:val="FFFFFF"/>
                <w:sz w:val="18"/>
              </w:rPr>
              <w:t xml:space="preserve">Purpose / notes</w:t>
            </w:r>
          </w:p>
        </w:tc>
      </w:tr>
      <w:tr>
        <w:tblPrEx>
          <w:tblBorders/>
        </w:tblPrEx>
        <w:trPr>
          <w:trHeight w:hRule="atLeast" w:val="20"/>
        </w:trPr>
        <w:tc>
          <w:tcPr>
            <w:tcW w:w="1800" w:type="dxa"/>
            <w:tcBorders/>
            <w:shd w:fill="auto" w:color="auto"/>
            <w:vAlign w:val="center"/>
          </w:tcPr>
          <w:p>
            <w:pPr>
              <w:pStyle w:val="Normal"/>
              <w:spacing w:after="20"/>
            </w:pPr>
            <w:r>
              <w:rPr>
                <w:rFonts w:ascii="Aptos" w:hAnsi="Aptos"/>
                <w:b w:val="0"/>
                <w:sz w:val="17"/>
              </w:rPr>
              <w:t xml:space="preserve">Customer / snapshot</w:t>
            </w:r>
          </w:p>
        </w:tc>
        <w:tc>
          <w:tcPr>
            <w:tcW w:w="3744" w:type="dxa"/>
            <w:tcBorders/>
            <w:shd w:fill="auto" w:color="auto"/>
            <w:vAlign w:val="center"/>
          </w:tcPr>
          <w:p>
            <w:pPr>
              <w:pStyle w:val="Normal"/>
              <w:spacing w:after="20"/>
            </w:pPr>
            <w:r>
              <w:rPr>
                <w:rFonts w:ascii="Aptos" w:hAnsi="Aptos"/>
                <w:b w:val="0"/>
                <w:sz w:val="17"/>
              </w:rPr>
              <w:t xml:space="preserve">Pseudonymous customer_id, snapshot_date, customer tenure, broad region if appropriate</w:t>
            </w:r>
          </w:p>
        </w:tc>
        <w:tc>
          <w:tcPr>
            <w:tcW w:w="4104" w:type="dxa"/>
            <w:tcBorders/>
            <w:shd w:fill="auto" w:color="auto"/>
            <w:vAlign w:val="center"/>
          </w:tcPr>
          <w:p>
            <w:pPr>
              <w:pStyle w:val="Normal"/>
              <w:spacing w:after="20"/>
            </w:pPr>
            <w:r>
              <w:rPr>
                <w:rFonts w:ascii="Aptos" w:hAnsi="Aptos"/>
                <w:b w:val="0"/>
                <w:sz w:val="17"/>
              </w:rPr>
              <w:t xml:space="preserve">Join records and define what was known at prediction time; avoid direct identifiers.</w:t>
            </w:r>
          </w:p>
        </w:tc>
      </w:tr>
      <w:tr>
        <w:tblPrEx>
          <w:tblBorders/>
        </w:tblPrEx>
        <w:trPr>
          <w:trHeight w:hRule="atLeast" w:val="20"/>
        </w:trPr>
        <w:tc>
          <w:tcPr>
            <w:tcW w:w="1800" w:type="dxa"/>
            <w:tcBorders/>
            <w:shd w:fill="auto" w:color="auto"/>
            <w:vAlign w:val="center"/>
          </w:tcPr>
          <w:p>
            <w:pPr>
              <w:pStyle w:val="Normal"/>
              <w:spacing w:after="20"/>
            </w:pPr>
            <w:r>
              <w:rPr>
                <w:rFonts w:ascii="Aptos" w:hAnsi="Aptos"/>
                <w:b w:val="0"/>
                <w:sz w:val="17"/>
              </w:rPr>
              <w:t xml:space="preserve">Transactions</w:t>
            </w:r>
          </w:p>
        </w:tc>
        <w:tc>
          <w:tcPr>
            <w:tcW w:w="3744" w:type="dxa"/>
            <w:tcBorders/>
            <w:shd w:fill="auto" w:color="auto"/>
            <w:vAlign w:val="center"/>
          </w:tcPr>
          <w:p>
            <w:pPr>
              <w:pStyle w:val="Normal"/>
              <w:spacing w:after="20"/>
            </w:pPr>
            <w:r>
              <w:rPr>
                <w:rFonts w:ascii="Aptos" w:hAnsi="Aptos"/>
                <w:b w:val="0"/>
                <w:sz w:val="17"/>
              </w:rPr>
              <w:t xml:space="preserve">Order date, order ID, order status, net order value, item count, shipping/return status</w:t>
            </w:r>
          </w:p>
        </w:tc>
        <w:tc>
          <w:tcPr>
            <w:tcW w:w="4104" w:type="dxa"/>
            <w:tcBorders/>
            <w:shd w:fill="auto" w:color="auto"/>
            <w:vAlign w:val="center"/>
          </w:tcPr>
          <w:p>
            <w:pPr>
              <w:pStyle w:val="Normal"/>
              <w:spacing w:after="20"/>
            </w:pPr>
            <w:r>
              <w:rPr>
                <w:rFonts w:ascii="Aptos" w:hAnsi="Aptos"/>
                <w:b w:val="0"/>
                <w:sz w:val="17"/>
              </w:rPr>
              <w:t xml:space="preserve">Build recency, frequency, spend, order interval, and target label.</w:t>
            </w:r>
          </w:p>
        </w:tc>
      </w:tr>
      <w:tr>
        <w:tblPrEx>
          <w:tblBorders/>
        </w:tblPrEx>
        <w:trPr>
          <w:trHeight w:hRule="atLeast" w:val="20"/>
        </w:trPr>
        <w:tc>
          <w:tcPr>
            <w:tcW w:w="1800" w:type="dxa"/>
            <w:tcBorders/>
            <w:shd w:fill="auto" w:color="auto"/>
            <w:vAlign w:val="center"/>
          </w:tcPr>
          <w:p>
            <w:pPr>
              <w:pStyle w:val="Normal"/>
              <w:spacing w:after="20"/>
            </w:pPr>
            <w:r>
              <w:rPr>
                <w:rFonts w:ascii="Aptos" w:hAnsi="Aptos"/>
                <w:b w:val="0"/>
                <w:sz w:val="17"/>
              </w:rPr>
              <w:t xml:space="preserve">Products</w:t>
            </w:r>
          </w:p>
        </w:tc>
        <w:tc>
          <w:tcPr>
            <w:tcW w:w="3744" w:type="dxa"/>
            <w:tcBorders/>
            <w:shd w:fill="auto" w:color="auto"/>
            <w:vAlign w:val="center"/>
          </w:tcPr>
          <w:p>
            <w:pPr>
              <w:pStyle w:val="Normal"/>
              <w:spacing w:after="20"/>
            </w:pPr>
            <w:r>
              <w:rPr>
                <w:rFonts w:ascii="Aptos" w:hAnsi="Aptos"/>
                <w:b w:val="0"/>
                <w:sz w:val="17"/>
              </w:rPr>
              <w:t xml:space="preserve">SKU, category, price, bundle flag, ingredient/category tags where available</w:t>
            </w:r>
          </w:p>
        </w:tc>
        <w:tc>
          <w:tcPr>
            <w:tcW w:w="4104" w:type="dxa"/>
            <w:tcBorders/>
            <w:shd w:fill="auto" w:color="auto"/>
            <w:vAlign w:val="center"/>
          </w:tcPr>
          <w:p>
            <w:pPr>
              <w:pStyle w:val="Normal"/>
              <w:spacing w:after="20"/>
            </w:pPr>
            <w:r>
              <w:rPr>
                <w:rFonts w:ascii="Aptos" w:hAnsi="Aptos"/>
                <w:b w:val="0"/>
                <w:sz w:val="17"/>
              </w:rPr>
              <w:t xml:space="preserve">Explore category preferences and replenishment behaviour.</w:t>
            </w:r>
          </w:p>
        </w:tc>
      </w:tr>
      <w:tr>
        <w:tblPrEx>
          <w:tblBorders/>
        </w:tblPrEx>
        <w:trPr>
          <w:trHeight w:hRule="atLeast" w:val="20"/>
        </w:trPr>
        <w:tc>
          <w:tcPr>
            <w:tcW w:w="1800" w:type="dxa"/>
            <w:tcBorders/>
            <w:shd w:fill="auto" w:color="auto"/>
            <w:vAlign w:val="center"/>
          </w:tcPr>
          <w:p>
            <w:pPr>
              <w:pStyle w:val="Normal"/>
              <w:spacing w:after="20"/>
            </w:pPr>
            <w:r>
              <w:rPr>
                <w:rFonts w:ascii="Aptos" w:hAnsi="Aptos"/>
                <w:b w:val="0"/>
                <w:sz w:val="17"/>
              </w:rPr>
              <w:t xml:space="preserve">Promotions</w:t>
            </w:r>
          </w:p>
        </w:tc>
        <w:tc>
          <w:tcPr>
            <w:tcW w:w="3744" w:type="dxa"/>
            <w:tcBorders/>
            <w:shd w:fill="auto" w:color="auto"/>
            <w:vAlign w:val="center"/>
          </w:tcPr>
          <w:p>
            <w:pPr>
              <w:pStyle w:val="Normal"/>
              <w:spacing w:after="20"/>
            </w:pPr>
            <w:r>
              <w:rPr>
                <w:rFonts w:ascii="Aptos" w:hAnsi="Aptos"/>
                <w:b w:val="0"/>
                <w:sz w:val="17"/>
              </w:rPr>
              <w:t xml:space="preserve">Coupon used, discount percentage, campaign ID, effective price</w:t>
            </w:r>
          </w:p>
        </w:tc>
        <w:tc>
          <w:tcPr>
            <w:tcW w:w="4104" w:type="dxa"/>
            <w:tcBorders/>
            <w:shd w:fill="auto" w:color="auto"/>
            <w:vAlign w:val="center"/>
          </w:tcPr>
          <w:p>
            <w:pPr>
              <w:pStyle w:val="Normal"/>
              <w:spacing w:after="20"/>
            </w:pPr>
            <w:r>
              <w:rPr>
                <w:rFonts w:ascii="Aptos" w:hAnsi="Aptos"/>
                <w:b w:val="0"/>
                <w:sz w:val="17"/>
              </w:rPr>
              <w:t xml:space="preserve">Examine promotion dependence and potential margin trade-offs.</w:t>
            </w:r>
          </w:p>
        </w:tc>
      </w:tr>
      <w:tr>
        <w:tblPrEx>
          <w:tblBorders/>
        </w:tblPrEx>
        <w:trPr>
          <w:trHeight w:hRule="atLeast" w:val="20"/>
        </w:trPr>
        <w:tc>
          <w:tcPr>
            <w:tcW w:w="1800" w:type="dxa"/>
            <w:tcBorders/>
            <w:shd w:fill="auto" w:color="auto"/>
            <w:vAlign w:val="center"/>
          </w:tcPr>
          <w:p>
            <w:pPr>
              <w:pStyle w:val="Normal"/>
              <w:spacing w:after="20"/>
            </w:pPr>
            <w:r>
              <w:rPr>
                <w:rFonts w:ascii="Aptos" w:hAnsi="Aptos"/>
                <w:b w:val="0"/>
                <w:sz w:val="17"/>
              </w:rPr>
              <w:t xml:space="preserve">Digital engagement</w:t>
            </w:r>
          </w:p>
        </w:tc>
        <w:tc>
          <w:tcPr>
            <w:tcW w:w="3744" w:type="dxa"/>
            <w:tcBorders/>
            <w:shd w:fill="auto" w:color="auto"/>
            <w:vAlign w:val="center"/>
          </w:tcPr>
          <w:p>
            <w:pPr>
              <w:pStyle w:val="Normal"/>
              <w:spacing w:after="20"/>
            </w:pPr>
            <w:r>
              <w:rPr>
                <w:rFonts w:ascii="Aptos" w:hAnsi="Aptos"/>
                <w:b w:val="0"/>
                <w:sz w:val="17"/>
              </w:rPr>
              <w:t xml:space="preserve">Product-page views, add-to-cart events, email opens/clicks, session date</w:t>
            </w:r>
          </w:p>
        </w:tc>
        <w:tc>
          <w:tcPr>
            <w:tcW w:w="4104" w:type="dxa"/>
            <w:tcBorders/>
            <w:shd w:fill="auto" w:color="auto"/>
            <w:vAlign w:val="center"/>
          </w:tcPr>
          <w:p>
            <w:pPr>
              <w:pStyle w:val="Normal"/>
              <w:spacing w:after="20"/>
            </w:pPr>
            <w:r>
              <w:rPr>
                <w:rFonts w:ascii="Aptos" w:hAnsi="Aptos"/>
                <w:b w:val="0"/>
                <w:sz w:val="17"/>
              </w:rPr>
              <w:t xml:space="preserve">Measure recent engagement; use only data lawfully collected and available before prediction.</w:t>
            </w:r>
          </w:p>
        </w:tc>
      </w:tr>
      <w:tr>
        <w:tblPrEx>
          <w:tblBorders/>
        </w:tblPrEx>
        <w:trPr>
          <w:trHeight w:hRule="atLeast" w:val="20"/>
        </w:trPr>
        <w:tc>
          <w:tcPr>
            <w:tcW w:w="1800" w:type="dxa"/>
            <w:tcBorders/>
            <w:shd w:fill="auto" w:color="auto"/>
            <w:vAlign w:val="center"/>
          </w:tcPr>
          <w:p>
            <w:pPr>
              <w:pStyle w:val="Normal"/>
              <w:spacing w:after="20"/>
            </w:pPr>
            <w:r>
              <w:rPr>
                <w:rFonts w:ascii="Aptos" w:hAnsi="Aptos"/>
                <w:b w:val="0"/>
                <w:sz w:val="17"/>
              </w:rPr>
              <w:t xml:space="preserve">Customer feedback</w:t>
            </w:r>
          </w:p>
        </w:tc>
        <w:tc>
          <w:tcPr>
            <w:tcW w:w="3744" w:type="dxa"/>
            <w:tcBorders/>
            <w:shd w:fill="auto" w:color="auto"/>
            <w:vAlign w:val="center"/>
          </w:tcPr>
          <w:p>
            <w:pPr>
              <w:pStyle w:val="Normal"/>
              <w:spacing w:after="20"/>
            </w:pPr>
            <w:r>
              <w:rPr>
                <w:rFonts w:ascii="Aptos" w:hAnsi="Aptos"/>
                <w:b w:val="0"/>
                <w:sz w:val="17"/>
              </w:rPr>
              <w:t xml:space="preserve">Review rating, review timestamp, return reason, support issue category</w:t>
            </w:r>
          </w:p>
        </w:tc>
        <w:tc>
          <w:tcPr>
            <w:tcW w:w="4104" w:type="dxa"/>
            <w:tcBorders/>
            <w:shd w:fill="auto" w:color="auto"/>
            <w:vAlign w:val="center"/>
          </w:tcPr>
          <w:p>
            <w:pPr>
              <w:pStyle w:val="Normal"/>
              <w:spacing w:after="20"/>
            </w:pPr>
            <w:r>
              <w:rPr>
                <w:rFonts w:ascii="Aptos" w:hAnsi="Aptos"/>
                <w:b w:val="0"/>
                <w:sz w:val="17"/>
              </w:rPr>
              <w:t xml:space="preserve">Explore satisfaction-related signals; text analysis only if enough quality data exists.</w:t>
            </w:r>
          </w:p>
        </w:tc>
      </w:tr>
      <w:tr>
        <w:tblPrEx>
          <w:tblBorders/>
        </w:tblPrEx>
        <w:trPr>
          <w:trHeight w:hRule="atLeast" w:val="20"/>
        </w:trPr>
        <w:tc>
          <w:tcPr>
            <w:tcW w:w="1800" w:type="dxa"/>
            <w:tcBorders/>
            <w:shd w:fill="auto" w:color="auto"/>
            <w:vAlign w:val="center"/>
          </w:tcPr>
          <w:p>
            <w:pPr>
              <w:pStyle w:val="Normal"/>
              <w:spacing w:after="20"/>
            </w:pPr>
            <w:r>
              <w:rPr>
                <w:rFonts w:ascii="Aptos" w:hAnsi="Aptos"/>
                <w:b w:val="0"/>
                <w:sz w:val="17"/>
              </w:rPr>
              <w:t xml:space="preserve">Target label</w:t>
            </w:r>
          </w:p>
        </w:tc>
        <w:tc>
          <w:tcPr>
            <w:tcW w:w="3744" w:type="dxa"/>
            <w:tcBorders/>
            <w:shd w:fill="auto" w:color="auto"/>
            <w:vAlign w:val="center"/>
          </w:tcPr>
          <w:p>
            <w:pPr>
              <w:pStyle w:val="Normal"/>
              <w:spacing w:after="20"/>
            </w:pPr>
            <w:r>
              <w:rPr>
                <w:rFonts w:ascii="Aptos" w:hAnsi="Aptos"/>
                <w:b w:val="0"/>
                <w:sz w:val="17"/>
              </w:rPr>
              <w:t xml:space="preserve">Repeat_purchase_60d = 1 if a qualifying order occurs in the next 60 days, else 0</w:t>
            </w:r>
          </w:p>
        </w:tc>
        <w:tc>
          <w:tcPr>
            <w:tcW w:w="4104" w:type="dxa"/>
            <w:tcBorders/>
            <w:shd w:fill="auto" w:color="auto"/>
            <w:vAlign w:val="center"/>
          </w:tcPr>
          <w:p>
            <w:pPr>
              <w:pStyle w:val="Normal"/>
              <w:spacing w:after="20"/>
            </w:pPr>
            <w:r>
              <w:rPr>
                <w:rFonts w:ascii="Aptos" w:hAnsi="Aptos"/>
                <w:b w:val="0"/>
                <w:sz w:val="17"/>
              </w:rPr>
              <w:t xml:space="preserve">Define the outcome from a future window; exclude snapshots without a complete follow-up window.</w:t>
            </w:r>
          </w:p>
        </w:tc>
      </w:tr>
    </w:tbl>
    <w:p>
      <w:pPr>
        <w:pStyle w:val="Normal"/>
        <w:spacing w:after="20"/>
      </w:pPr>
    </w:p>
    <w:p>
      <w:pPr>
        <w:pStyle w:val="Heading 2"/>
        <w:keepNext/>
      </w:pPr>
      <w:r>
        <w:t xml:space="preserve">6.1 Data sources and feasibility</w:t>
      </w:r>
    </w:p>
    <w:p>
      <w:pPr>
        <w:pStyle w:val="List Bullet"/>
        <w:spacing w:after="40"/>
      </w:pPr>
      <w:r>
        <w:t xml:space="preserve">Preferred: anonymised first-party order and engagement records supplied by a participating brand, with written permission and appropriate data minimisation.</w:t>
      </w:r>
    </w:p>
    <w:p>
      <w:pPr>
        <w:pStyle w:val="List Bullet"/>
        <w:spacing w:after="40"/>
      </w:pPr>
      <w:r>
        <w:t xml:space="preserve">Public-data alternative: a publicly available e-commerce transaction dataset can be used to demonstrate order-level feature engineering and repeat-purchase analysis. The dataset may not be beauty-specific, so its results must not be presented as findings about skincare consumers.</w:t>
      </w:r>
    </w:p>
    <w:p>
      <w:pPr>
        <w:pStyle w:val="List Bullet"/>
        <w:spacing w:after="40"/>
      </w:pPr>
      <w:r>
        <w:t xml:space="preserve">Supplementary context: public industry reports and published research can support the business rationale, but market reports do not substitute for customer-level behavioural data.</w:t>
      </w:r>
    </w:p>
    <w:p>
      <w:pPr>
        <w:pStyle w:val="List Bullet"/>
        <w:spacing w:after="40"/>
      </w:pPr>
      <w:r>
        <w:t xml:space="preserve">If no appropriate dataset is available, a synthetic dataset can test the pipeline mechanics only. Any generated data and results must be explicitly labelled synthetic and must not be treated as evidence of real customer behaviour.</w:t>
      </w:r>
    </w:p>
    <w:p>
      <w:pPr>
        <w:pStyle w:val="Heading 2"/>
        <w:keepNext/>
      </w:pPr>
      <w:r>
        <w:t xml:space="preserve">6.2 Data quality checks</w:t>
      </w:r>
    </w:p>
    <w:p>
      <w:pPr>
        <w:pStyle w:val="List Bullet"/>
        <w:spacing w:after="40"/>
      </w:pPr>
      <w:r>
        <w:t xml:space="preserve">Check missing IDs, timestamps, quantities, prices, duplicate rows, currency consistency, and inconsistent order statuses.</w:t>
      </w:r>
    </w:p>
    <w:p>
      <w:pPr>
        <w:pStyle w:val="List Bullet"/>
        <w:spacing w:after="40"/>
      </w:pPr>
      <w:r>
        <w:t xml:space="preserve">Separate completed purchases from cancelled orders and refunds using a documented rule.</w:t>
      </w:r>
    </w:p>
    <w:p>
      <w:pPr>
        <w:pStyle w:val="List Bullet"/>
        <w:spacing w:after="40"/>
      </w:pPr>
      <w:r>
        <w:t xml:space="preserve">Check extreme values and unusual order patterns without automatically deleting legitimate high-value customers.</w:t>
      </w:r>
    </w:p>
    <w:p>
      <w:pPr>
        <w:pStyle w:val="List Bullet"/>
        <w:spacing w:after="40"/>
      </w:pPr>
      <w:r>
        <w:t xml:space="preserve">Verify that customer IDs are stable across orders and that timestamps use a consistent time zone.</w:t>
      </w:r>
    </w:p>
    <w:p>
      <w:pPr>
        <w:pStyle w:val="List Bullet"/>
        <w:spacing w:after="40"/>
      </w:pPr>
      <w:r>
        <w:t xml:space="preserve">Check whether the observation period is long enough to build features and allow a full 60-day target window.</w:t>
      </w:r>
    </w:p>
    <w:p>
      <w:pPr>
        <w:pStyle w:val="List Bullet"/>
        <w:spacing w:after="40"/>
      </w:pPr>
      <w:r>
        <w:t xml:space="preserve">Document the percentage of records excluded at each cleaning step and the reason for exclusion.</w:t>
      </w:r>
    </w:p>
    <w:p>
      <w:pPr>
        <w:pStyle w:val="Heading 1"/>
        <w:keepNext/>
      </w:pPr>
      <w:r>
        <w:t xml:space="preserve">7. Proposed Analytical Methodology</w:t>
      </w:r>
    </w:p>
    <w:p>
      <w:pPr>
        <w:pStyle w:val="Normal"/>
      </w:pPr>
      <w:r>
        <w:t xml:space="preserve">The analysis will follow a staged workflow so that the business definition, data quality, and evaluation design are settled before model complexity is increased.</w:t>
      </w:r>
    </w:p>
    <w:p>
      <w:pPr>
        <w:pStyle w:val="Normal"/>
        <w:spacing w:after="100"/>
      </w:pPr>
      <w:r>
        <w:rPr>
          <w:b/>
        </w:rPr>
        <w:t xml:space="preserve">Step 1 — Confirm the business definition: </w:t>
      </w:r>
      <w:r>
        <w:t xml:space="preserve">Discuss the target customer, product categories, retention action, 60-day prediction horizon, and what constitutes a completed purchase. Record assumptions and obtain stakeholder agreement.</w:t>
      </w:r>
    </w:p>
    <w:p>
      <w:pPr>
        <w:pStyle w:val="Normal"/>
        <w:spacing w:after="100"/>
      </w:pPr>
      <w:r>
        <w:rPr>
          <w:b/>
        </w:rPr>
        <w:t xml:space="preserve">Step 2 — Acquire and document data: </w:t>
      </w:r>
      <w:r>
        <w:t xml:space="preserve">Obtain authorised data or select a documented public dataset. Create a data dictionary describing fields, formats, units, source, availability date, and privacy considerations.</w:t>
      </w:r>
    </w:p>
    <w:p>
      <w:pPr>
        <w:pStyle w:val="Normal"/>
        <w:spacing w:after="100"/>
      </w:pPr>
      <w:r>
        <w:rPr>
          <w:b/>
        </w:rPr>
        <w:t xml:space="preserve">Step 3 — Clean and validate: </w:t>
      </w:r>
      <w:r>
        <w:t xml:space="preserve">Remove exact duplicates where justified, standardise dates and categories, reconcile order statuses, inspect missingness, and test customer/order uniqueness rules.</w:t>
      </w:r>
    </w:p>
    <w:p>
      <w:pPr>
        <w:pStyle w:val="Normal"/>
        <w:spacing w:after="100"/>
      </w:pPr>
      <w:r>
        <w:rPr>
          <w:b/>
        </w:rPr>
        <w:t xml:space="preserve">Step 4 — Define snapshots and labels: </w:t>
      </w:r>
      <w:r>
        <w:t xml:space="preserve">Choose one or more prediction dates per customer. Construct features only from information available on or before the snapshot date. Label repeat purchase using the following 60 days and exclude snapshots without full follow-up.</w:t>
      </w:r>
    </w:p>
    <w:p>
      <w:pPr>
        <w:pStyle w:val="Normal"/>
        <w:spacing w:after="100"/>
      </w:pPr>
      <w:r>
        <w:rPr>
          <w:b/>
        </w:rPr>
        <w:t xml:space="preserve">Step 5 — Exploratory data analysis (EDA): </w:t>
      </w:r>
      <w:r>
        <w:t xml:space="preserve">Review customer counts, order distribution, first-to-second-order intervals, repeat rate by acquisition cohort and product category, average order value, discount use, and engagement distributions. Use plots and summary tables to find patterns and data issues.</w:t>
      </w:r>
    </w:p>
    <w:p>
      <w:pPr>
        <w:pStyle w:val="Normal"/>
        <w:spacing w:after="100"/>
      </w:pPr>
      <w:r>
        <w:rPr>
          <w:b/>
        </w:rPr>
        <w:t xml:space="preserve">Step 6 — Feature engineering: </w:t>
      </w:r>
      <w:r>
        <w:t xml:space="preserve">Create days since last order, order count, spend, average basket value, category diversity, median/mean order interval, discount share, returns/complaints if appropriate, and recent engagement. Use rolling windows that do not cross the prediction date.</w:t>
      </w:r>
    </w:p>
    <w:p>
      <w:pPr>
        <w:pStyle w:val="Normal"/>
        <w:spacing w:after="100"/>
      </w:pPr>
      <w:r>
        <w:rPr>
          <w:b/>
        </w:rPr>
        <w:t xml:space="preserve">Step 7 — Build a baseline: </w:t>
      </w:r>
      <w:r>
        <w:t xml:space="preserve">Start with a simple recency-based rule and Logistic Regression. Compare against a majority-</w:t>
      </w:r>
      <w:r>
        <w:t xml:space="preserve">class baseline so the team can judge whether a more complex model adds value.</w:t>
      </w:r>
    </w:p>
    <w:p>
      <w:pPr>
        <w:pStyle w:val="Normal"/>
        <w:spacing w:after="100"/>
      </w:pPr>
      <w:r>
        <w:rPr>
          <w:b/>
        </w:rPr>
        <w:t xml:space="preserve">Step 8 — Compare models: </w:t>
      </w:r>
      <w:r>
        <w:t xml:space="preserve">Test Random Forest and, if data size and quality justify it, gradient-boosted trees such as XGBoost or HistGradientBoosting. Use class weights or threshold adjustment if classes are imbalanced; fit preprocessing only on training data.</w:t>
      </w:r>
    </w:p>
    <w:p>
      <w:pPr>
        <w:pStyle w:val="Normal"/>
        <w:spacing w:after="100"/>
      </w:pPr>
      <w:r>
        <w:rPr>
          <w:b/>
        </w:rPr>
        <w:t xml:space="preserve">Step 9 — Evaluate honestly: </w:t>
      </w:r>
      <w:r>
        <w:t xml:space="preserve">Use a time-based train/validation/test split to mimic future deployment. Report PR-AUC, ROC-AUC, precision, recall, F1, confusion matrix, calibration, and lift/precision among the highest-risk or highest-</w:t>
      </w:r>
      <w:r>
        <w:t xml:space="preserve">opportunity customers.</w:t>
      </w:r>
    </w:p>
    <w:p>
      <w:pPr>
        <w:pStyle w:val="Normal"/>
        <w:spacing w:after="100"/>
      </w:pPr>
      <w:r>
        <w:rPr>
          <w:b/>
        </w:rPr>
        <w:t xml:space="preserve">Step 10 — Translate into marketing actions: </w:t>
      </w:r>
      <w:r>
        <w:t xml:space="preserve">Create actionable segments such as new customer, likely replenishment, high-value at-risk, category explorer, and discount-sensitive. Treat these as hypotheses for campaigns, not immutable labels about individuals.</w:t>
      </w:r>
    </w:p>
    <w:p>
      <w:pPr>
        <w:pStyle w:val="Normal"/>
        <w:spacing w:after="100"/>
      </w:pPr>
      <w:r>
        <w:rPr>
          <w:b/>
        </w:rPr>
        <w:t xml:space="preserve">Step 11 — Recommend an experiment: </w:t>
      </w:r>
      <w:r>
        <w:t xml:space="preserve">Design a small A/B test comparing a relevant, compliant intervention with a holdout group. Measure incremental repeat purchase and contribution margin, not only opens or clicks.</w:t>
      </w:r>
    </w:p>
    <w:p>
      <w:pPr>
        <w:pStyle w:val="Normal"/>
        <w:spacing w:after="100"/>
      </w:pPr>
      <w:r>
        <w:rPr>
          <w:b/>
        </w:rPr>
        <w:t xml:space="preserve">Step 12 — Communicate and monitor: </w:t>
      </w:r>
      <w:r>
        <w:t xml:space="preserve">Create a dashboard outline, model card, assumptions log, and recommendations. Monitor drift, campaign fatigue, calibration, and performance across relevant customer groups.</w:t>
      </w:r>
    </w:p>
    <w:p>
      <w:pPr>
        <w:pStyle w:val="Heading 1"/>
        <w:keepNext/>
      </w:pPr>
      <w:r>
        <w:t xml:space="preserve">8. Exploratory Analysis Plan</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088"/>
        <w:gridCol w:w="4464"/>
        <w:gridCol w:w="3096"/>
      </w:tblGrid>
      <w:tr>
        <w:tblPrEx>
          <w:tblBorders/>
        </w:tblPrEx>
        <w:trPr>
          <w:trHeight w:hRule="atLeast" w:val="20"/>
        </w:trPr>
        <w:tc>
          <w:tcPr>
            <w:tcW w:w="2088" w:type="dxa"/>
            <w:tcBorders/>
            <w:shd w:fill="7C3F66" w:color="auto" w:val="clear"/>
            <w:vAlign w:val="center"/>
          </w:tcPr>
          <w:p>
            <w:pPr>
              <w:pStyle w:val="Normal"/>
              <w:spacing w:after="20"/>
            </w:pPr>
            <w:r>
              <w:rPr>
                <w:rFonts w:ascii="Aptos" w:hAnsi="Aptos"/>
                <w:b/>
                <w:color w:val="FFFFFF"/>
                <w:sz w:val="18"/>
              </w:rPr>
              <w:t xml:space="preserve">Analysis</w:t>
            </w:r>
          </w:p>
        </w:tc>
        <w:tc>
          <w:tcPr>
            <w:tcW w:w="4464" w:type="dxa"/>
            <w:tcBorders/>
            <w:shd w:fill="7C3F66" w:color="auto" w:val="clear"/>
            <w:vAlign w:val="center"/>
          </w:tcPr>
          <w:p>
            <w:pPr>
              <w:pStyle w:val="Normal"/>
              <w:spacing w:after="20"/>
            </w:pPr>
            <w:r>
              <w:rPr>
                <w:rFonts w:ascii="Aptos" w:hAnsi="Aptos"/>
                <w:b/>
                <w:color w:val="FFFFFF"/>
                <w:sz w:val="18"/>
              </w:rPr>
              <w:t xml:space="preserve">Questions / outputs</w:t>
            </w:r>
          </w:p>
        </w:tc>
        <w:tc>
          <w:tcPr>
            <w:tcW w:w="3096" w:type="dxa"/>
            <w:tcBorders/>
            <w:shd w:fill="7C3F66" w:color="auto" w:val="clear"/>
            <w:vAlign w:val="center"/>
          </w:tcPr>
          <w:p>
            <w:pPr>
              <w:pStyle w:val="Normal"/>
              <w:spacing w:after="20"/>
            </w:pPr>
            <w:r>
              <w:rPr>
                <w:rFonts w:ascii="Aptos" w:hAnsi="Aptos"/>
                <w:b/>
                <w:color w:val="FFFFFF"/>
                <w:sz w:val="18"/>
              </w:rPr>
              <w:t xml:space="preserve">Possible visual</w:t>
            </w:r>
          </w:p>
        </w:tc>
      </w:tr>
      <w:tr>
        <w:tblPrEx>
          <w:tblBorders/>
        </w:tblPrEx>
        <w:trPr>
          <w:trHeight w:hRule="atLeast" w:val="20"/>
        </w:trPr>
        <w:tc>
          <w:tcPr>
            <w:tcW w:w="2088" w:type="dxa"/>
            <w:tcBorders/>
            <w:shd w:fill="auto" w:color="auto"/>
            <w:vAlign w:val="center"/>
          </w:tcPr>
          <w:p>
            <w:pPr>
              <w:pStyle w:val="Normal"/>
              <w:spacing w:after="20"/>
            </w:pPr>
            <w:r>
              <w:rPr>
                <w:rFonts w:ascii="Aptos" w:hAnsi="Aptos"/>
                <w:b w:val="0"/>
                <w:sz w:val="17"/>
              </w:rPr>
              <w:t xml:space="preserve">Customer cohort analysis</w:t>
            </w:r>
          </w:p>
        </w:tc>
        <w:tc>
          <w:tcPr>
            <w:tcW w:w="4464" w:type="dxa"/>
            <w:tcBorders/>
            <w:shd w:fill="auto" w:color="auto"/>
            <w:vAlign w:val="center"/>
          </w:tcPr>
          <w:p>
            <w:pPr>
              <w:pStyle w:val="Normal"/>
              <w:spacing w:after="20"/>
            </w:pPr>
            <w:r>
              <w:rPr>
                <w:rFonts w:ascii="Aptos" w:hAnsi="Aptos"/>
                <w:b w:val="0"/>
                <w:sz w:val="17"/>
              </w:rPr>
              <w:t xml:space="preserve">How does the proportion of customers returning change by first-purchase month?</w:t>
            </w:r>
          </w:p>
        </w:tc>
        <w:tc>
          <w:tcPr>
            <w:tcW w:w="3096" w:type="dxa"/>
            <w:tcBorders/>
            <w:shd w:fill="auto" w:color="auto"/>
            <w:vAlign w:val="center"/>
          </w:tcPr>
          <w:p>
            <w:pPr>
              <w:pStyle w:val="Normal"/>
              <w:spacing w:after="20"/>
            </w:pPr>
            <w:r>
              <w:rPr>
                <w:rFonts w:ascii="Aptos" w:hAnsi="Aptos"/>
                <w:b w:val="0"/>
                <w:sz w:val="17"/>
              </w:rPr>
              <w:t xml:space="preserve">Cohort retention heatmap</w:t>
            </w:r>
          </w:p>
        </w:tc>
      </w:tr>
      <w:tr>
        <w:tblPrEx>
          <w:tblBorders/>
        </w:tblPrEx>
        <w:trPr>
          <w:trHeight w:hRule="atLeast" w:val="20"/>
        </w:trPr>
        <w:tc>
          <w:tcPr>
            <w:tcW w:w="2088" w:type="dxa"/>
            <w:tcBorders/>
            <w:shd w:fill="auto" w:color="auto"/>
            <w:vAlign w:val="center"/>
          </w:tcPr>
          <w:p>
            <w:pPr>
              <w:pStyle w:val="Normal"/>
              <w:spacing w:after="20"/>
            </w:pPr>
            <w:r>
              <w:rPr>
                <w:rFonts w:ascii="Aptos" w:hAnsi="Aptos"/>
                <w:b w:val="0"/>
                <w:sz w:val="17"/>
              </w:rPr>
              <w:t xml:space="preserve">Purchase timing</w:t>
            </w:r>
          </w:p>
        </w:tc>
        <w:tc>
          <w:tcPr>
            <w:tcW w:w="4464" w:type="dxa"/>
            <w:tcBorders/>
            <w:shd w:fill="auto" w:color="auto"/>
            <w:vAlign w:val="center"/>
          </w:tcPr>
          <w:p>
            <w:pPr>
              <w:pStyle w:val="Normal"/>
              <w:spacing w:after="20"/>
            </w:pPr>
            <w:r>
              <w:rPr>
                <w:rFonts w:ascii="Aptos" w:hAnsi="Aptos"/>
                <w:b w:val="0"/>
                <w:sz w:val="17"/>
              </w:rPr>
              <w:t xml:space="preserve">How many days typically pass between first and second order? Are there distinct intervals?</w:t>
            </w:r>
          </w:p>
        </w:tc>
        <w:tc>
          <w:tcPr>
            <w:tcW w:w="3096" w:type="dxa"/>
            <w:tcBorders/>
            <w:shd w:fill="auto" w:color="auto"/>
            <w:vAlign w:val="center"/>
          </w:tcPr>
          <w:p>
            <w:pPr>
              <w:pStyle w:val="Normal"/>
              <w:spacing w:after="20"/>
            </w:pPr>
            <w:r>
              <w:rPr>
                <w:rFonts w:ascii="Aptos" w:hAnsi="Aptos"/>
                <w:b w:val="0"/>
                <w:sz w:val="17"/>
              </w:rPr>
              <w:t xml:space="preserve">Histogram or box plot of inter-order days</w:t>
            </w:r>
          </w:p>
        </w:tc>
      </w:tr>
      <w:tr>
        <w:tblPrEx>
          <w:tblBorders/>
        </w:tblPrEx>
        <w:trPr>
          <w:trHeight w:hRule="atLeast" w:val="20"/>
        </w:trPr>
        <w:tc>
          <w:tcPr>
            <w:tcW w:w="2088" w:type="dxa"/>
            <w:tcBorders/>
            <w:shd w:fill="auto" w:color="auto"/>
            <w:vAlign w:val="center"/>
          </w:tcPr>
          <w:p>
            <w:pPr>
              <w:pStyle w:val="Normal"/>
              <w:spacing w:after="20"/>
            </w:pPr>
            <w:r>
              <w:rPr>
                <w:rFonts w:ascii="Aptos" w:hAnsi="Aptos"/>
                <w:b w:val="0"/>
                <w:sz w:val="17"/>
              </w:rPr>
              <w:t xml:space="preserve">RFM profile</w:t>
            </w:r>
          </w:p>
        </w:tc>
        <w:tc>
          <w:tcPr>
            <w:tcW w:w="4464" w:type="dxa"/>
            <w:tcBorders/>
            <w:shd w:fill="auto" w:color="auto"/>
            <w:vAlign w:val="center"/>
          </w:tcPr>
          <w:p>
            <w:pPr>
              <w:pStyle w:val="Normal"/>
              <w:spacing w:after="20"/>
            </w:pPr>
            <w:r>
              <w:rPr>
                <w:rFonts w:ascii="Aptos" w:hAnsi="Aptos"/>
                <w:b w:val="0"/>
                <w:sz w:val="17"/>
              </w:rPr>
              <w:t xml:space="preserve">How do recency, frequency, and monetary value differ across customer groups?</w:t>
            </w:r>
          </w:p>
        </w:tc>
        <w:tc>
          <w:tcPr>
            <w:tcW w:w="3096" w:type="dxa"/>
            <w:tcBorders/>
            <w:shd w:fill="auto" w:color="auto"/>
            <w:vAlign w:val="center"/>
          </w:tcPr>
          <w:p>
            <w:pPr>
              <w:pStyle w:val="Normal"/>
              <w:spacing w:after="20"/>
            </w:pPr>
            <w:r>
              <w:rPr>
                <w:rFonts w:ascii="Aptos" w:hAnsi="Aptos"/>
                <w:b w:val="0"/>
                <w:sz w:val="17"/>
              </w:rPr>
              <w:t xml:space="preserve">RFM segment table or scatter plot</w:t>
            </w:r>
          </w:p>
        </w:tc>
      </w:tr>
      <w:tr>
        <w:tblPrEx>
          <w:tblBorders/>
        </w:tblPrEx>
        <w:trPr>
          <w:trHeight w:hRule="atLeast" w:val="20"/>
        </w:trPr>
        <w:tc>
          <w:tcPr>
            <w:tcW w:w="2088" w:type="dxa"/>
            <w:tcBorders/>
            <w:shd w:fill="auto" w:color="auto"/>
            <w:vAlign w:val="center"/>
          </w:tcPr>
          <w:p>
            <w:pPr>
              <w:pStyle w:val="Normal"/>
              <w:spacing w:after="20"/>
            </w:pPr>
            <w:r>
              <w:rPr>
                <w:rFonts w:ascii="Aptos" w:hAnsi="Aptos"/>
                <w:b w:val="0"/>
                <w:sz w:val="17"/>
              </w:rPr>
              <w:t xml:space="preserve">Product category</w:t>
            </w:r>
          </w:p>
        </w:tc>
        <w:tc>
          <w:tcPr>
            <w:tcW w:w="4464" w:type="dxa"/>
            <w:tcBorders/>
            <w:shd w:fill="auto" w:color="auto"/>
            <w:vAlign w:val="center"/>
          </w:tcPr>
          <w:p>
            <w:pPr>
              <w:pStyle w:val="Normal"/>
              <w:spacing w:after="20"/>
            </w:pPr>
            <w:r>
              <w:rPr>
                <w:rFonts w:ascii="Aptos" w:hAnsi="Aptos"/>
                <w:b w:val="0"/>
                <w:sz w:val="17"/>
              </w:rPr>
              <w:t xml:space="preserve">Which categories are associated with higher/lower observed repeat rates?</w:t>
            </w:r>
          </w:p>
        </w:tc>
        <w:tc>
          <w:tcPr>
            <w:tcW w:w="3096" w:type="dxa"/>
            <w:tcBorders/>
            <w:shd w:fill="auto" w:color="auto"/>
            <w:vAlign w:val="center"/>
          </w:tcPr>
          <w:p>
            <w:pPr>
              <w:pStyle w:val="Normal"/>
              <w:spacing w:after="20"/>
            </w:pPr>
            <w:r>
              <w:rPr>
                <w:rFonts w:ascii="Aptos" w:hAnsi="Aptos"/>
                <w:b w:val="0"/>
                <w:sz w:val="17"/>
              </w:rPr>
              <w:t xml:space="preserve">Bar chart with sample counts and confidence intervals</w:t>
            </w:r>
          </w:p>
        </w:tc>
      </w:tr>
      <w:tr>
        <w:tblPrEx>
          <w:tblBorders/>
        </w:tblPrEx>
        <w:trPr>
          <w:trHeight w:hRule="atLeast" w:val="20"/>
        </w:trPr>
        <w:tc>
          <w:tcPr>
            <w:tcW w:w="2088" w:type="dxa"/>
            <w:tcBorders/>
            <w:shd w:fill="auto" w:color="auto"/>
            <w:vAlign w:val="center"/>
          </w:tcPr>
          <w:p>
            <w:pPr>
              <w:pStyle w:val="Normal"/>
              <w:spacing w:after="20"/>
            </w:pPr>
            <w:r>
              <w:rPr>
                <w:rFonts w:ascii="Aptos" w:hAnsi="Aptos"/>
                <w:b w:val="0"/>
                <w:sz w:val="17"/>
              </w:rPr>
              <w:t xml:space="preserve">Promotion behaviour</w:t>
            </w:r>
          </w:p>
        </w:tc>
        <w:tc>
          <w:tcPr>
            <w:tcW w:w="4464" w:type="dxa"/>
            <w:tcBorders/>
            <w:shd w:fill="auto" w:color="auto"/>
            <w:vAlign w:val="center"/>
          </w:tcPr>
          <w:p>
            <w:pPr>
              <w:pStyle w:val="Normal"/>
              <w:spacing w:after="20"/>
            </w:pPr>
            <w:r>
              <w:rPr>
                <w:rFonts w:ascii="Aptos" w:hAnsi="Aptos"/>
                <w:b w:val="0"/>
                <w:sz w:val="17"/>
              </w:rPr>
              <w:t xml:space="preserve">How do repeat rates and margins vary with discount intensity?</w:t>
            </w:r>
          </w:p>
        </w:tc>
        <w:tc>
          <w:tcPr>
            <w:tcW w:w="3096" w:type="dxa"/>
            <w:tcBorders/>
            <w:shd w:fill="auto" w:color="auto"/>
            <w:vAlign w:val="center"/>
          </w:tcPr>
          <w:p>
            <w:pPr>
              <w:pStyle w:val="Normal"/>
              <w:spacing w:after="20"/>
            </w:pPr>
            <w:r>
              <w:rPr>
                <w:rFonts w:ascii="Aptos" w:hAnsi="Aptos"/>
                <w:b w:val="0"/>
                <w:sz w:val="17"/>
              </w:rPr>
              <w:t xml:space="preserve">Repeat-rate and margin comparison</w:t>
            </w:r>
          </w:p>
        </w:tc>
      </w:tr>
      <w:tr>
        <w:tblPrEx>
          <w:tblBorders/>
        </w:tblPrEx>
        <w:trPr>
          <w:trHeight w:hRule="atLeast" w:val="20"/>
        </w:trPr>
        <w:tc>
          <w:tcPr>
            <w:tcW w:w="2088" w:type="dxa"/>
            <w:tcBorders/>
            <w:shd w:fill="auto" w:color="auto"/>
            <w:vAlign w:val="center"/>
          </w:tcPr>
          <w:p>
            <w:pPr>
              <w:pStyle w:val="Normal"/>
              <w:spacing w:after="20"/>
            </w:pPr>
            <w:r>
              <w:rPr>
                <w:rFonts w:ascii="Aptos" w:hAnsi="Aptos"/>
                <w:b w:val="0"/>
                <w:sz w:val="17"/>
              </w:rPr>
              <w:t xml:space="preserve">Engagement signals</w:t>
            </w:r>
          </w:p>
        </w:tc>
        <w:tc>
          <w:tcPr>
            <w:tcW w:w="4464" w:type="dxa"/>
            <w:tcBorders/>
            <w:shd w:fill="auto" w:color="auto"/>
            <w:vAlign w:val="center"/>
          </w:tcPr>
          <w:p>
            <w:pPr>
              <w:pStyle w:val="Normal"/>
              <w:spacing w:after="20"/>
            </w:pPr>
            <w:r>
              <w:rPr>
                <w:rFonts w:ascii="Aptos" w:hAnsi="Aptos"/>
                <w:b w:val="0"/>
                <w:sz w:val="17"/>
              </w:rPr>
              <w:t xml:space="preserve">Do recent sessions or email clicks add information beyond transaction history?</w:t>
            </w:r>
          </w:p>
        </w:tc>
        <w:tc>
          <w:tcPr>
            <w:tcW w:w="3096" w:type="dxa"/>
            <w:tcBorders/>
            <w:shd w:fill="auto" w:color="auto"/>
            <w:vAlign w:val="center"/>
          </w:tcPr>
          <w:p>
            <w:pPr>
              <w:pStyle w:val="Normal"/>
              <w:spacing w:after="20"/>
            </w:pPr>
            <w:r>
              <w:rPr>
                <w:rFonts w:ascii="Aptos" w:hAnsi="Aptos"/>
                <w:b w:val="0"/>
                <w:sz w:val="17"/>
              </w:rPr>
              <w:t xml:space="preserve">Grouped comparison and feature-ablation results</w:t>
            </w:r>
          </w:p>
        </w:tc>
      </w:tr>
      <w:tr>
        <w:tblPrEx>
          <w:tblBorders/>
        </w:tblPrEx>
        <w:trPr>
          <w:trHeight w:hRule="atLeast" w:val="20"/>
        </w:trPr>
        <w:tc>
          <w:tcPr>
            <w:tcW w:w="2088" w:type="dxa"/>
            <w:tcBorders/>
            <w:shd w:fill="auto" w:color="auto"/>
            <w:vAlign w:val="center"/>
          </w:tcPr>
          <w:p>
            <w:pPr>
              <w:pStyle w:val="Normal"/>
              <w:spacing w:after="20"/>
            </w:pPr>
            <w:r>
              <w:rPr>
                <w:rFonts w:ascii="Aptos" w:hAnsi="Aptos"/>
                <w:b w:val="0"/>
                <w:sz w:val="17"/>
              </w:rPr>
              <w:t xml:space="preserve">Target balance</w:t>
            </w:r>
          </w:p>
        </w:tc>
        <w:tc>
          <w:tcPr>
            <w:tcW w:w="4464" w:type="dxa"/>
            <w:tcBorders/>
            <w:shd w:fill="auto" w:color="auto"/>
            <w:vAlign w:val="center"/>
          </w:tcPr>
          <w:p>
            <w:pPr>
              <w:pStyle w:val="Normal"/>
              <w:spacing w:after="20"/>
            </w:pPr>
            <w:r>
              <w:rPr>
                <w:rFonts w:ascii="Aptos" w:hAnsi="Aptos"/>
                <w:b w:val="0"/>
                <w:sz w:val="17"/>
              </w:rPr>
              <w:t xml:space="preserve">What proportion of snapshots have a repeat purchase within 60 days?</w:t>
            </w:r>
          </w:p>
        </w:tc>
        <w:tc>
          <w:tcPr>
            <w:tcW w:w="3096" w:type="dxa"/>
            <w:tcBorders/>
            <w:shd w:fill="auto" w:color="auto"/>
            <w:vAlign w:val="center"/>
          </w:tcPr>
          <w:p>
            <w:pPr>
              <w:pStyle w:val="Normal"/>
              <w:spacing w:after="20"/>
            </w:pPr>
            <w:r>
              <w:rPr>
                <w:rFonts w:ascii="Aptos" w:hAnsi="Aptos"/>
                <w:b w:val="0"/>
                <w:sz w:val="17"/>
              </w:rPr>
              <w:t xml:space="preserve">Class distribution bar chart</w:t>
            </w:r>
          </w:p>
        </w:tc>
      </w:tr>
    </w:tbl>
    <w:p>
      <w:pPr>
        <w:pStyle w:val="Normal"/>
        <w:spacing w:after="20"/>
      </w:pPr>
    </w:p>
    <w:p>
      <w:pPr>
        <w:pStyle w:val="Heading 1"/>
        <w:keepNext/>
      </w:pPr>
      <w:r>
        <w:t xml:space="preserve">9. Tools and Technical Stack</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32"/>
        <w:gridCol w:w="2880"/>
        <w:gridCol w:w="4536"/>
      </w:tblGrid>
      <w:tr>
        <w:tblPrEx>
          <w:tblBorders/>
        </w:tblPrEx>
        <w:trPr>
          <w:trHeight w:hRule="atLeast" w:val="20"/>
        </w:trPr>
        <w:tc>
          <w:tcPr>
            <w:tcW w:w="2232" w:type="dxa"/>
            <w:tcBorders/>
            <w:shd w:fill="7C3F66" w:color="auto" w:val="clear"/>
            <w:vAlign w:val="center"/>
          </w:tcPr>
          <w:p>
            <w:pPr>
              <w:pStyle w:val="Normal"/>
              <w:spacing w:after="20"/>
            </w:pPr>
            <w:r>
              <w:rPr>
                <w:rFonts w:ascii="Aptos" w:hAnsi="Aptos"/>
                <w:b/>
                <w:color w:val="FFFFFF"/>
                <w:sz w:val="18"/>
              </w:rPr>
              <w:t xml:space="preserve">Task</w:t>
            </w:r>
          </w:p>
        </w:tc>
        <w:tc>
          <w:tcPr>
            <w:tcW w:w="2880" w:type="dxa"/>
            <w:tcBorders/>
            <w:shd w:fill="7C3F66" w:color="auto" w:val="clear"/>
            <w:vAlign w:val="center"/>
          </w:tcPr>
          <w:p>
            <w:pPr>
              <w:pStyle w:val="Normal"/>
              <w:spacing w:after="20"/>
            </w:pPr>
            <w:r>
              <w:rPr>
                <w:rFonts w:ascii="Aptos" w:hAnsi="Aptos"/>
                <w:b/>
                <w:color w:val="FFFFFF"/>
                <w:sz w:val="18"/>
              </w:rPr>
              <w:t xml:space="preserve">Proposed tools</w:t>
            </w:r>
          </w:p>
        </w:tc>
        <w:tc>
          <w:tcPr>
            <w:tcW w:w="4536" w:type="dxa"/>
            <w:tcBorders/>
            <w:shd w:fill="7C3F66" w:color="auto" w:val="clear"/>
            <w:vAlign w:val="center"/>
          </w:tcPr>
          <w:p>
            <w:pPr>
              <w:pStyle w:val="Normal"/>
              <w:spacing w:after="20"/>
            </w:pPr>
            <w:r>
              <w:rPr>
                <w:rFonts w:ascii="Aptos" w:hAnsi="Aptos"/>
                <w:b/>
                <w:color w:val="FFFFFF"/>
                <w:sz w:val="18"/>
              </w:rPr>
              <w:t xml:space="preserve">Reason</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Data loading and manipulation</w:t>
            </w:r>
          </w:p>
        </w:tc>
        <w:tc>
          <w:tcPr>
            <w:tcW w:w="2880" w:type="dxa"/>
            <w:tcBorders/>
            <w:shd w:fill="auto" w:color="auto"/>
            <w:vAlign w:val="center"/>
          </w:tcPr>
          <w:p>
            <w:pPr>
              <w:pStyle w:val="Normal"/>
              <w:spacing w:after="20"/>
            </w:pPr>
            <w:r>
              <w:rPr>
                <w:rFonts w:ascii="Aptos" w:hAnsi="Aptos"/>
                <w:b w:val="0"/>
                <w:sz w:val="17"/>
              </w:rPr>
              <w:t xml:space="preserve">Python, pandas, NumPy</w:t>
            </w:r>
          </w:p>
        </w:tc>
        <w:tc>
          <w:tcPr>
            <w:tcW w:w="4536" w:type="dxa"/>
            <w:tcBorders/>
            <w:shd w:fill="auto" w:color="auto"/>
            <w:vAlign w:val="center"/>
          </w:tcPr>
          <w:p>
            <w:pPr>
              <w:pStyle w:val="Normal"/>
              <w:spacing w:after="20"/>
            </w:pPr>
            <w:r>
              <w:rPr>
                <w:rFonts w:ascii="Aptos" w:hAnsi="Aptos"/>
                <w:b w:val="0"/>
                <w:sz w:val="17"/>
              </w:rPr>
              <w:t xml:space="preserve">Efficient cleaning, joining, aggregation, and feature engineering.</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EDA and visualisation</w:t>
            </w:r>
          </w:p>
        </w:tc>
        <w:tc>
          <w:tcPr>
            <w:tcW w:w="2880" w:type="dxa"/>
            <w:tcBorders/>
            <w:shd w:fill="auto" w:color="auto"/>
            <w:vAlign w:val="center"/>
          </w:tcPr>
          <w:p>
            <w:pPr>
              <w:pStyle w:val="Normal"/>
              <w:spacing w:after="20"/>
            </w:pPr>
            <w:r>
              <w:rPr>
                <w:rFonts w:ascii="Aptos" w:hAnsi="Aptos"/>
                <w:b w:val="0"/>
                <w:sz w:val="17"/>
              </w:rPr>
              <w:t xml:space="preserve">Matplotlib, Seaborn, Plotly</w:t>
            </w:r>
          </w:p>
        </w:tc>
        <w:tc>
          <w:tcPr>
            <w:tcW w:w="4536" w:type="dxa"/>
            <w:tcBorders/>
            <w:shd w:fill="auto" w:color="auto"/>
            <w:vAlign w:val="center"/>
          </w:tcPr>
          <w:p>
            <w:pPr>
              <w:pStyle w:val="Normal"/>
              <w:spacing w:after="20"/>
            </w:pPr>
            <w:r>
              <w:rPr>
                <w:rFonts w:ascii="Aptos" w:hAnsi="Aptos"/>
                <w:b w:val="0"/>
                <w:sz w:val="17"/>
              </w:rPr>
              <w:t xml:space="preserve">Inspect distributions, cohorts, relationships, and outliers.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Modelling</w:t>
            </w:r>
          </w:p>
        </w:tc>
        <w:tc>
          <w:tcPr>
            <w:tcW w:w="2880" w:type="dxa"/>
            <w:tcBorders/>
            <w:shd w:fill="auto" w:color="auto"/>
            <w:vAlign w:val="center"/>
          </w:tcPr>
          <w:p>
            <w:pPr>
              <w:pStyle w:val="Normal"/>
              <w:spacing w:after="20"/>
            </w:pPr>
            <w:r>
              <w:rPr>
                <w:rFonts w:ascii="Aptos" w:hAnsi="Aptos"/>
                <w:b w:val="0"/>
                <w:sz w:val="17"/>
              </w:rPr>
              <w:t xml:space="preserve">scikit-learn; optional XGBoost</w:t>
            </w:r>
          </w:p>
        </w:tc>
        <w:tc>
          <w:tcPr>
            <w:tcW w:w="4536" w:type="dxa"/>
            <w:tcBorders/>
            <w:shd w:fill="auto" w:color="auto"/>
            <w:vAlign w:val="center"/>
          </w:tcPr>
          <w:p>
            <w:pPr>
              <w:pStyle w:val="Normal"/>
              <w:spacing w:after="20"/>
            </w:pPr>
            <w:r>
              <w:rPr>
                <w:rFonts w:ascii="Aptos" w:hAnsi="Aptos"/>
                <w:b w:val="0"/>
                <w:sz w:val="17"/>
              </w:rPr>
              <w:t xml:space="preserve">Baseline classification, tree models, preprocessing pipelines, and evaluation.</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Text sentiment (optional)</w:t>
            </w:r>
          </w:p>
        </w:tc>
        <w:tc>
          <w:tcPr>
            <w:tcW w:w="2880" w:type="dxa"/>
            <w:tcBorders/>
            <w:shd w:fill="auto" w:color="auto"/>
            <w:vAlign w:val="center"/>
          </w:tcPr>
          <w:p>
            <w:pPr>
              <w:pStyle w:val="Normal"/>
              <w:spacing w:after="20"/>
            </w:pPr>
            <w:r>
              <w:rPr>
                <w:rFonts w:ascii="Aptos" w:hAnsi="Aptos"/>
                <w:b w:val="0"/>
                <w:sz w:val="17"/>
              </w:rPr>
              <w:t xml:space="preserve">VADER or a suitable NLP model</w:t>
            </w:r>
          </w:p>
        </w:tc>
        <w:tc>
          <w:tcPr>
            <w:tcW w:w="4536" w:type="dxa"/>
            <w:tcBorders/>
            <w:shd w:fill="auto" w:color="auto"/>
            <w:vAlign w:val="center"/>
          </w:tcPr>
          <w:p>
            <w:pPr>
              <w:pStyle w:val="Normal"/>
              <w:spacing w:after="20"/>
            </w:pPr>
            <w:r>
              <w:rPr>
                <w:rFonts w:ascii="Aptos" w:hAnsi="Aptos"/>
                <w:b w:val="0"/>
                <w:sz w:val="17"/>
              </w:rPr>
              <w:t xml:space="preserve">Explore review sentiment only if review text is available and sufficiently reliable.</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Dashboard</w:t>
            </w:r>
          </w:p>
        </w:tc>
        <w:tc>
          <w:tcPr>
            <w:tcW w:w="2880" w:type="dxa"/>
            <w:tcBorders/>
            <w:shd w:fill="auto" w:color="auto"/>
            <w:vAlign w:val="center"/>
          </w:tcPr>
          <w:p>
            <w:pPr>
              <w:pStyle w:val="Normal"/>
              <w:spacing w:after="20"/>
            </w:pPr>
            <w:r>
              <w:rPr>
                <w:rFonts w:ascii="Aptos" w:hAnsi="Aptos"/>
                <w:b w:val="0"/>
                <w:sz w:val="17"/>
              </w:rPr>
              <w:t xml:space="preserve">Power BI or Streamlit</w:t>
            </w:r>
          </w:p>
        </w:tc>
        <w:tc>
          <w:tcPr>
            <w:tcW w:w="4536" w:type="dxa"/>
            <w:tcBorders/>
            <w:shd w:fill="auto" w:color="auto"/>
            <w:vAlign w:val="center"/>
          </w:tcPr>
          <w:p>
            <w:pPr>
              <w:pStyle w:val="Normal"/>
              <w:spacing w:after="20"/>
            </w:pPr>
            <w:r>
              <w:rPr>
                <w:rFonts w:ascii="Aptos" w:hAnsi="Aptos"/>
                <w:b w:val="0"/>
                <w:sz w:val="17"/>
              </w:rPr>
              <w:t xml:space="preserve">Communicate retention metrics, segment sizes, and model outputs to non-technical users.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Versioning and reproducibility</w:t>
            </w:r>
          </w:p>
        </w:tc>
        <w:tc>
          <w:tcPr>
            <w:tcW w:w="2880" w:type="dxa"/>
            <w:tcBorders/>
            <w:shd w:fill="auto" w:color="auto"/>
            <w:vAlign w:val="center"/>
          </w:tcPr>
          <w:p>
            <w:pPr>
              <w:pStyle w:val="Normal"/>
              <w:spacing w:after="20"/>
            </w:pPr>
            <w:r>
              <w:rPr>
                <w:rFonts w:ascii="Aptos" w:hAnsi="Aptos"/>
                <w:b w:val="0"/>
                <w:sz w:val="17"/>
              </w:rPr>
              <w:t xml:space="preserve">Git/GitHub, requirements.txt, notebook/script, README</w:t>
            </w:r>
          </w:p>
        </w:tc>
        <w:tc>
          <w:tcPr>
            <w:tcW w:w="4536" w:type="dxa"/>
            <w:tcBorders/>
            <w:shd w:fill="auto" w:color="auto"/>
            <w:vAlign w:val="center"/>
          </w:tcPr>
          <w:p>
            <w:pPr>
              <w:pStyle w:val="Normal"/>
              <w:spacing w:after="20"/>
            </w:pPr>
            <w:r>
              <w:rPr>
                <w:rFonts w:ascii="Aptos" w:hAnsi="Aptos"/>
                <w:b w:val="0"/>
                <w:sz w:val="17"/>
              </w:rPr>
              <w:t xml:space="preserve">Track code changes and document how to reproduce the analysis.</w:t>
            </w:r>
          </w:p>
        </w:tc>
      </w:tr>
    </w:tbl>
    <w:p>
      <w:pPr>
        <w:pStyle w:val="Normal"/>
        <w:spacing w:after="20"/>
      </w:pPr>
    </w:p>
    <w:p>
      <w:pPr>
        <w:pStyle w:val="Heading 1"/>
        <w:keepNext/>
      </w:pPr>
      <w:r>
        <w:t xml:space="preserve">10. Evaluation Framework</w:t>
      </w:r>
    </w:p>
    <w:p>
      <w:pPr>
        <w:pStyle w:val="Normal"/>
      </w:pPr>
      <w:r>
        <w:t xml:space="preserve">Accuracy alone may be misleading if repeat purchase or inactivity is imbalanced. Evaluation should match the intended decision. If the goal is to identify customers unlikely to return, recall for the at-risk class and precision among selected customers are important. If the goal is to prioritise customers likely to respond to a retention offer, the project ultimately needs intervention-response evidence rather than purchase propensity alone.</w:t>
      </w:r>
    </w:p>
    <w:p>
      <w:pPr>
        <w:pStyle w:val="List Bullet"/>
        <w:spacing w:after="40"/>
      </w:pPr>
      <w:r>
        <w:t xml:space="preserve">Temporal split: train on earlier snapshots, validate on a later period, and reserve the latest eligible period as a final test set.</w:t>
      </w:r>
    </w:p>
    <w:p>
      <w:pPr>
        <w:pStyle w:val="List Bullet"/>
        <w:spacing w:after="40"/>
      </w:pPr>
      <w:r>
        <w:t xml:space="preserve">PR-AUC: useful when the target class is relatively uncommon.</w:t>
      </w:r>
    </w:p>
    <w:p>
      <w:pPr>
        <w:pStyle w:val="List Bullet"/>
        <w:spacing w:after="40"/>
      </w:pPr>
      <w:r>
        <w:t xml:space="preserve">Precision and recall: quantify how many selected customers are relevant and how many relevant customers are found.</w:t>
      </w:r>
    </w:p>
    <w:p>
      <w:pPr>
        <w:pStyle w:val="List Bullet"/>
        <w:spacing w:after="40"/>
      </w:pPr>
      <w:r>
        <w:t xml:space="preserve">Calibration: check whether predicted probabilities align with observed outcome frequencies.</w:t>
      </w:r>
    </w:p>
    <w:p>
      <w:pPr>
        <w:pStyle w:val="List Bullet"/>
        <w:spacing w:after="40"/>
      </w:pPr>
      <w:r>
        <w:t xml:space="preserve">Lift and top-k capture: estimate whether the highest-ranked customers are more informative than selecting customers at random.</w:t>
      </w:r>
    </w:p>
    <w:p>
      <w:pPr>
        <w:pStyle w:val="List Bullet"/>
        <w:spacing w:after="40"/>
      </w:pPr>
      <w:r>
        <w:t xml:space="preserve">Business metrics: incremental repeat orders, contribution margin after campaign cost, unsubscribe/complaint rate, and customer experience.</w:t>
      </w:r>
    </w:p>
    <w:p>
      <w:pPr>
        <w:pStyle w:val="Normal"/>
      </w:pPr>
      <w:r>
        <w:t xml:space="preserve">The positive class and risk direction must be fixed before modelling. If the model predicts repeat purchase, a low probability indicates higher risk; if the model predicts inactivity, a high probability indicates higher risk. The report and dashboard must use one consistent definition.</w:t>
      </w:r>
    </w:p>
    <w:p>
      <w:pPr>
        <w:pStyle w:val="Heading 1"/>
        <w:keepNext/>
      </w:pPr>
      <w:r>
        <w:t xml:space="preserve">11. Ethical, Privacy and Responsible-Use Considerations</w:t>
      </w:r>
    </w:p>
    <w:p>
      <w:pPr>
        <w:pStyle w:val="List Bullet"/>
        <w:spacing w:after="40"/>
      </w:pPr>
      <w:r>
        <w:t xml:space="preserve">Use only data that the business is authorised to process, and document the lawful purpose and access controls.</w:t>
      </w:r>
    </w:p>
    <w:p>
      <w:pPr>
        <w:pStyle w:val="List Bullet"/>
        <w:spacing w:after="40"/>
      </w:pPr>
      <w:r>
        <w:t xml:space="preserve">Remove names, phone numbers, email addresses, precise addresses, and other direct identifiers from the modelling dataset; use pseudonymous customer IDs.</w:t>
      </w:r>
    </w:p>
    <w:p>
      <w:pPr>
        <w:pStyle w:val="List Bullet"/>
        <w:spacing w:after="40"/>
      </w:pPr>
      <w:r>
        <w:t xml:space="preserve">Collect only variables needed for the stated purpose and limit retention of raw event-level data.</w:t>
      </w:r>
    </w:p>
    <w:p>
      <w:pPr>
        <w:pStyle w:val="List Bullet"/>
        <w:spacing w:after="40"/>
      </w:pPr>
      <w:r>
        <w:t xml:space="preserve">Do not infer sensitive traits or use skincare purchases to make health diagnoses or unsupported claims about a person's skin.</w:t>
      </w:r>
    </w:p>
    <w:p>
      <w:pPr>
        <w:pStyle w:val="List Bullet"/>
        <w:spacing w:after="40"/>
      </w:pPr>
      <w:r>
        <w:t xml:space="preserve">Review errors across customer groups and avoid systematically withholding service or creating unfair prices based on model scores.</w:t>
      </w:r>
    </w:p>
    <w:p>
      <w:pPr>
        <w:pStyle w:val="List Bullet"/>
        <w:spacing w:after="40"/>
      </w:pPr>
      <w:r>
        <w:t xml:space="preserve">Treat predictions as decision support, not certainty. Provide a way to suppress inappropriate contact and respect consent, opt-outs, and communication preferences.</w:t>
      </w:r>
    </w:p>
    <w:p>
      <w:pPr>
        <w:pStyle w:val="List Bullet"/>
        <w:spacing w:after="40"/>
      </w:pPr>
      <w:r>
        <w:t xml:space="preserve">Keep a record of data sources, feature definitions, exclusions, model versions, and limitations.</w:t>
      </w:r>
    </w:p>
    <w:p>
      <w:pPr>
        <w:pStyle w:val="Heading 1"/>
        <w:keepNext/>
      </w:pPr>
      <w:r>
        <w:t xml:space="preserve">12. Limitations and Risk Mitigation</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32"/>
        <w:gridCol w:w="3384"/>
        <w:gridCol w:w="4032"/>
      </w:tblGrid>
      <w:tr>
        <w:tblPrEx>
          <w:tblBorders/>
        </w:tblPrEx>
        <w:trPr>
          <w:trHeight w:hRule="atLeast" w:val="20"/>
        </w:trPr>
        <w:tc>
          <w:tcPr>
            <w:tcW w:w="2232" w:type="dxa"/>
            <w:tcBorders/>
            <w:shd w:fill="7C3F66" w:color="auto" w:val="clear"/>
            <w:vAlign w:val="center"/>
          </w:tcPr>
          <w:p>
            <w:pPr>
              <w:pStyle w:val="Normal"/>
              <w:spacing w:after="20"/>
            </w:pPr>
            <w:r>
              <w:rPr>
                <w:rFonts w:ascii="Aptos" w:hAnsi="Aptos"/>
                <w:b/>
                <w:color w:val="FFFFFF"/>
                <w:sz w:val="18"/>
              </w:rPr>
              <w:t xml:space="preserve">Risk / limitation</w:t>
            </w:r>
          </w:p>
        </w:tc>
        <w:tc>
          <w:tcPr>
            <w:tcW w:w="3384" w:type="dxa"/>
            <w:tcBorders/>
            <w:shd w:fill="7C3F66" w:color="auto" w:val="clear"/>
            <w:vAlign w:val="center"/>
          </w:tcPr>
          <w:p>
            <w:pPr>
              <w:pStyle w:val="Normal"/>
              <w:spacing w:after="20"/>
            </w:pPr>
            <w:r>
              <w:rPr>
                <w:rFonts w:ascii="Aptos" w:hAnsi="Aptos"/>
                <w:b/>
                <w:color w:val="FFFFFF"/>
                <w:sz w:val="18"/>
              </w:rPr>
              <w:t xml:space="preserve">Why it matters</w:t>
            </w:r>
          </w:p>
        </w:tc>
        <w:tc>
          <w:tcPr>
            <w:tcW w:w="4032" w:type="dxa"/>
            <w:tcBorders/>
            <w:shd w:fill="7C3F66" w:color="auto" w:val="clear"/>
            <w:vAlign w:val="center"/>
          </w:tcPr>
          <w:p>
            <w:pPr>
              <w:pStyle w:val="Normal"/>
              <w:spacing w:after="20"/>
            </w:pPr>
            <w:r>
              <w:rPr>
                <w:rFonts w:ascii="Aptos" w:hAnsi="Aptos"/>
                <w:b/>
                <w:color w:val="FFFFFF"/>
                <w:sz w:val="18"/>
              </w:rPr>
              <w:t xml:space="preserve">Mitigation</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No access to brand data</w:t>
            </w:r>
          </w:p>
        </w:tc>
        <w:tc>
          <w:tcPr>
            <w:tcW w:w="3384" w:type="dxa"/>
            <w:tcBorders/>
            <w:shd w:fill="auto" w:color="auto"/>
            <w:vAlign w:val="center"/>
          </w:tcPr>
          <w:p>
            <w:pPr>
              <w:pStyle w:val="Normal"/>
              <w:spacing w:after="20"/>
            </w:pPr>
            <w:r>
              <w:rPr>
                <w:rFonts w:ascii="Aptos" w:hAnsi="Aptos"/>
                <w:b w:val="0"/>
                <w:sz w:val="17"/>
              </w:rPr>
              <w:t xml:space="preserve">Public datasets may not reflect skincare-</w:t>
            </w:r>
            <w:r>
              <w:rPr>
                <w:rFonts w:ascii="Aptos" w:hAnsi="Aptos"/>
                <w:b w:val="0"/>
                <w:sz w:val="17"/>
              </w:rPr>
              <w:t xml:space="preserve">specific behaviour.</w:t>
            </w:r>
          </w:p>
        </w:tc>
        <w:tc>
          <w:tcPr>
            <w:tcW w:w="4032" w:type="dxa"/>
            <w:tcBorders/>
            <w:shd w:fill="auto" w:color="auto"/>
            <w:vAlign w:val="center"/>
          </w:tcPr>
          <w:p>
            <w:pPr>
              <w:pStyle w:val="Normal"/>
              <w:spacing w:after="20"/>
            </w:pPr>
            <w:r>
              <w:rPr>
                <w:rFonts w:ascii="Aptos" w:hAnsi="Aptos"/>
                <w:b w:val="0"/>
                <w:sz w:val="17"/>
              </w:rPr>
              <w:t xml:space="preserve">Use a public dataset only for workflow demonstration; state external-validity limits clearly.</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Incomplete customer identity</w:t>
            </w:r>
          </w:p>
        </w:tc>
        <w:tc>
          <w:tcPr>
            <w:tcW w:w="3384" w:type="dxa"/>
            <w:tcBorders/>
            <w:shd w:fill="auto" w:color="auto"/>
            <w:vAlign w:val="center"/>
          </w:tcPr>
          <w:p>
            <w:pPr>
              <w:pStyle w:val="Normal"/>
              <w:spacing w:after="20"/>
            </w:pPr>
            <w:r>
              <w:rPr>
                <w:rFonts w:ascii="Aptos" w:hAnsi="Aptos"/>
                <w:b w:val="0"/>
                <w:sz w:val="17"/>
              </w:rPr>
              <w:t xml:space="preserve">Marketplace orders or guest checkouts may fragment histories.</w:t>
            </w:r>
          </w:p>
        </w:tc>
        <w:tc>
          <w:tcPr>
            <w:tcW w:w="4032" w:type="dxa"/>
            <w:tcBorders/>
            <w:shd w:fill="auto" w:color="auto"/>
            <w:vAlign w:val="center"/>
          </w:tcPr>
          <w:p>
            <w:pPr>
              <w:pStyle w:val="Normal"/>
              <w:spacing w:after="20"/>
            </w:pPr>
            <w:r>
              <w:rPr>
                <w:rFonts w:ascii="Aptos" w:hAnsi="Aptos"/>
                <w:b w:val="0"/>
                <w:sz w:val="17"/>
              </w:rPr>
              <w:t xml:space="preserve">Assess ID coverage and avoid overstating customer-</w:t>
            </w:r>
            <w:r>
              <w:rPr>
                <w:rFonts w:ascii="Aptos" w:hAnsi="Aptos"/>
                <w:b w:val="0"/>
                <w:sz w:val="17"/>
              </w:rPr>
              <w:t xml:space="preserve">level conclusions.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Changing product replenishment cycles</w:t>
            </w:r>
          </w:p>
        </w:tc>
        <w:tc>
          <w:tcPr>
            <w:tcW w:w="3384" w:type="dxa"/>
            <w:tcBorders/>
            <w:shd w:fill="auto" w:color="auto"/>
            <w:vAlign w:val="center"/>
          </w:tcPr>
          <w:p>
            <w:pPr>
              <w:pStyle w:val="Normal"/>
              <w:spacing w:after="20"/>
            </w:pPr>
            <w:r>
              <w:rPr>
                <w:rFonts w:ascii="Aptos" w:hAnsi="Aptos"/>
                <w:b w:val="0"/>
                <w:sz w:val="17"/>
              </w:rPr>
              <w:t xml:space="preserve">A 60-day window may fit some products but not others.</w:t>
            </w:r>
          </w:p>
        </w:tc>
        <w:tc>
          <w:tcPr>
            <w:tcW w:w="4032" w:type="dxa"/>
            <w:tcBorders/>
            <w:shd w:fill="auto" w:color="auto"/>
            <w:vAlign w:val="center"/>
          </w:tcPr>
          <w:p>
            <w:pPr>
              <w:pStyle w:val="Normal"/>
              <w:spacing w:after="20"/>
            </w:pPr>
            <w:r>
              <w:rPr>
                <w:rFonts w:ascii="Aptos" w:hAnsi="Aptos"/>
                <w:b w:val="0"/>
                <w:sz w:val="17"/>
              </w:rPr>
              <w:t xml:space="preserve">Compare horizons and category-specific intervals if data volume permits.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Target leakage</w:t>
            </w:r>
          </w:p>
        </w:tc>
        <w:tc>
          <w:tcPr>
            <w:tcW w:w="3384" w:type="dxa"/>
            <w:tcBorders/>
            <w:shd w:fill="auto" w:color="auto"/>
            <w:vAlign w:val="center"/>
          </w:tcPr>
          <w:p>
            <w:pPr>
              <w:pStyle w:val="Normal"/>
              <w:spacing w:after="20"/>
            </w:pPr>
            <w:r>
              <w:rPr>
                <w:rFonts w:ascii="Aptos" w:hAnsi="Aptos"/>
                <w:b w:val="0"/>
                <w:sz w:val="17"/>
              </w:rPr>
              <w:t xml:space="preserve">Future information can make test performance look unrealistically high.</w:t>
            </w:r>
          </w:p>
        </w:tc>
        <w:tc>
          <w:tcPr>
            <w:tcW w:w="4032" w:type="dxa"/>
            <w:tcBorders/>
            <w:shd w:fill="auto" w:color="auto"/>
            <w:vAlign w:val="center"/>
          </w:tcPr>
          <w:p>
            <w:pPr>
              <w:pStyle w:val="Normal"/>
              <w:spacing w:after="20"/>
            </w:pPr>
            <w:r>
              <w:rPr>
                <w:rFonts w:ascii="Aptos" w:hAnsi="Aptos"/>
                <w:b w:val="0"/>
                <w:sz w:val="17"/>
              </w:rPr>
              <w:t xml:space="preserve">Build features as-of each snapshot and audit every feature timestamp.</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Class imbalance and drift</w:t>
            </w:r>
          </w:p>
        </w:tc>
        <w:tc>
          <w:tcPr>
            <w:tcW w:w="3384" w:type="dxa"/>
            <w:tcBorders/>
            <w:shd w:fill="auto" w:color="auto"/>
            <w:vAlign w:val="center"/>
          </w:tcPr>
          <w:p>
            <w:pPr>
              <w:pStyle w:val="Normal"/>
              <w:spacing w:after="20"/>
            </w:pPr>
            <w:r>
              <w:rPr>
                <w:rFonts w:ascii="Aptos" w:hAnsi="Aptos"/>
                <w:b w:val="0"/>
                <w:sz w:val="17"/>
              </w:rPr>
              <w:t xml:space="preserve">A model may perform poorly when shopping patterns change.</w:t>
            </w:r>
          </w:p>
        </w:tc>
        <w:tc>
          <w:tcPr>
            <w:tcW w:w="4032" w:type="dxa"/>
            <w:tcBorders/>
            <w:shd w:fill="auto" w:color="auto"/>
            <w:vAlign w:val="center"/>
          </w:tcPr>
          <w:p>
            <w:pPr>
              <w:pStyle w:val="Normal"/>
              <w:spacing w:after="20"/>
            </w:pPr>
            <w:r>
              <w:rPr>
                <w:rFonts w:ascii="Aptos" w:hAnsi="Aptos"/>
                <w:b w:val="0"/>
                <w:sz w:val="17"/>
              </w:rPr>
              <w:t xml:space="preserve">Use appropriate metrics, time-based testing, and ongoing monitoring.</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Correlation mistaken for causation</w:t>
            </w:r>
          </w:p>
        </w:tc>
        <w:tc>
          <w:tcPr>
            <w:tcW w:w="3384" w:type="dxa"/>
            <w:tcBorders/>
            <w:shd w:fill="auto" w:color="auto"/>
            <w:vAlign w:val="center"/>
          </w:tcPr>
          <w:p>
            <w:pPr>
              <w:pStyle w:val="Normal"/>
              <w:spacing w:after="20"/>
            </w:pPr>
            <w:r>
              <w:rPr>
                <w:rFonts w:ascii="Aptos" w:hAnsi="Aptos"/>
                <w:b w:val="0"/>
                <w:sz w:val="17"/>
              </w:rPr>
              <w:t xml:space="preserve">Discount use or engagement may correlate with purchase without causing it.</w:t>
            </w:r>
          </w:p>
        </w:tc>
        <w:tc>
          <w:tcPr>
            <w:tcW w:w="4032" w:type="dxa"/>
            <w:tcBorders/>
            <w:shd w:fill="auto" w:color="auto"/>
            <w:vAlign w:val="center"/>
          </w:tcPr>
          <w:p>
            <w:pPr>
              <w:pStyle w:val="Normal"/>
              <w:spacing w:after="20"/>
            </w:pPr>
            <w:r>
              <w:rPr>
                <w:rFonts w:ascii="Aptos" w:hAnsi="Aptos"/>
                <w:b w:val="0"/>
                <w:sz w:val="17"/>
              </w:rPr>
              <w:t xml:space="preserve">Use cautious language and validate campaign effects through experiments.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Privacy or consent concerns</w:t>
            </w:r>
          </w:p>
        </w:tc>
        <w:tc>
          <w:tcPr>
            <w:tcW w:w="3384" w:type="dxa"/>
            <w:tcBorders/>
            <w:shd w:fill="auto" w:color="auto"/>
            <w:vAlign w:val="center"/>
          </w:tcPr>
          <w:p>
            <w:pPr>
              <w:pStyle w:val="Normal"/>
              <w:spacing w:after="20"/>
            </w:pPr>
            <w:r>
              <w:rPr>
                <w:rFonts w:ascii="Aptos" w:hAnsi="Aptos"/>
                <w:b w:val="0"/>
                <w:sz w:val="17"/>
              </w:rPr>
              <w:t xml:space="preserve">Customer data can be sensitive and regulated.</w:t>
            </w:r>
          </w:p>
        </w:tc>
        <w:tc>
          <w:tcPr>
            <w:tcW w:w="4032" w:type="dxa"/>
            <w:tcBorders/>
            <w:shd w:fill="auto" w:color="auto"/>
            <w:vAlign w:val="center"/>
          </w:tcPr>
          <w:p>
            <w:pPr>
              <w:pStyle w:val="Normal"/>
              <w:spacing w:after="20"/>
            </w:pPr>
            <w:r>
              <w:rPr>
                <w:rFonts w:ascii="Aptos" w:hAnsi="Aptos"/>
                <w:b w:val="0"/>
                <w:sz w:val="17"/>
              </w:rPr>
              <w:t xml:space="preserve">Minimise, pseudonymise, restrict access, and follow applicable rules and company policy.</w:t>
            </w:r>
          </w:p>
        </w:tc>
      </w:tr>
    </w:tbl>
    <w:p>
      <w:pPr>
        <w:pStyle w:val="Normal"/>
        <w:spacing w:after="20"/>
      </w:pPr>
    </w:p>
    <w:p>
      <w:pPr>
        <w:pStyle w:val="Heading 1"/>
        <w:keepNext/>
      </w:pPr>
      <w:r>
        <w:t xml:space="preserve">13. Work Plan for the 30–35 Hour Task</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32"/>
        <w:gridCol w:w="5904"/>
        <w:gridCol w:w="1512"/>
      </w:tblGrid>
      <w:tr>
        <w:tblPrEx>
          <w:tblBorders/>
        </w:tblPrEx>
        <w:trPr>
          <w:trHeight w:hRule="atLeast" w:val="20"/>
        </w:trPr>
        <w:tc>
          <w:tcPr>
            <w:tcW w:w="2232" w:type="dxa"/>
            <w:tcBorders/>
            <w:shd w:fill="7C3F66" w:color="auto" w:val="clear"/>
            <w:vAlign w:val="center"/>
          </w:tcPr>
          <w:p>
            <w:pPr>
              <w:pStyle w:val="Normal"/>
              <w:spacing w:after="20"/>
            </w:pPr>
            <w:r>
              <w:rPr>
                <w:rFonts w:ascii="Aptos" w:hAnsi="Aptos"/>
                <w:b/>
                <w:color w:val="FFFFFF"/>
                <w:sz w:val="18"/>
              </w:rPr>
              <w:t xml:space="preserve">Phase</w:t>
            </w:r>
          </w:p>
        </w:tc>
        <w:tc>
          <w:tcPr>
            <w:tcW w:w="5904" w:type="dxa"/>
            <w:tcBorders/>
            <w:shd w:fill="7C3F66" w:color="auto" w:val="clear"/>
            <w:vAlign w:val="center"/>
          </w:tcPr>
          <w:p>
            <w:pPr>
              <w:pStyle w:val="Normal"/>
              <w:spacing w:after="20"/>
            </w:pPr>
            <w:r>
              <w:rPr>
                <w:rFonts w:ascii="Aptos" w:hAnsi="Aptos"/>
                <w:b/>
                <w:color w:val="FFFFFF"/>
                <w:sz w:val="18"/>
              </w:rPr>
              <w:t xml:space="preserve">Activities</w:t>
            </w:r>
          </w:p>
        </w:tc>
        <w:tc>
          <w:tcPr>
            <w:tcW w:w="1512" w:type="dxa"/>
            <w:tcBorders/>
            <w:shd w:fill="7C3F66" w:color="auto" w:val="clear"/>
            <w:vAlign w:val="center"/>
          </w:tcPr>
          <w:p>
            <w:pPr>
              <w:pStyle w:val="Normal"/>
              <w:spacing w:after="20"/>
            </w:pPr>
            <w:r>
              <w:rPr>
                <w:rFonts w:ascii="Aptos" w:hAnsi="Aptos"/>
                <w:b/>
                <w:color w:val="FFFFFF"/>
                <w:sz w:val="18"/>
              </w:rPr>
              <w:t xml:space="preserve">Estimated time</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1. Business framing</w:t>
            </w:r>
          </w:p>
        </w:tc>
        <w:tc>
          <w:tcPr>
            <w:tcW w:w="5904" w:type="dxa"/>
            <w:tcBorders/>
            <w:shd w:fill="auto" w:color="auto"/>
            <w:vAlign w:val="center"/>
          </w:tcPr>
          <w:p>
            <w:pPr>
              <w:pStyle w:val="Normal"/>
              <w:spacing w:after="20"/>
            </w:pPr>
            <w:r>
              <w:rPr>
                <w:rFonts w:ascii="Aptos" w:hAnsi="Aptos"/>
                <w:b w:val="0"/>
                <w:sz w:val="17"/>
              </w:rPr>
              <w:t xml:space="preserve">Define scope, customer journey, target label, and stakeholder questions.</w:t>
            </w:r>
          </w:p>
        </w:tc>
        <w:tc>
          <w:tcPr>
            <w:tcW w:w="1512" w:type="dxa"/>
            <w:tcBorders/>
            <w:shd w:fill="auto" w:color="auto"/>
            <w:vAlign w:val="center"/>
          </w:tcPr>
          <w:p>
            <w:pPr>
              <w:pStyle w:val="Normal"/>
              <w:spacing w:after="20"/>
            </w:pPr>
            <w:r>
              <w:rPr>
                <w:rFonts w:ascii="Aptos" w:hAnsi="Aptos"/>
                <w:b w:val="0"/>
                <w:sz w:val="17"/>
              </w:rPr>
              <w:t xml:space="preserve">3 hours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2. Industry and literature research</w:t>
            </w:r>
          </w:p>
        </w:tc>
        <w:tc>
          <w:tcPr>
            <w:tcW w:w="5904" w:type="dxa"/>
            <w:tcBorders/>
            <w:shd w:fill="auto" w:color="auto"/>
            <w:vAlign w:val="center"/>
          </w:tcPr>
          <w:p>
            <w:pPr>
              <w:pStyle w:val="Normal"/>
              <w:spacing w:after="20"/>
            </w:pPr>
            <w:r>
              <w:rPr>
                <w:rFonts w:ascii="Aptos" w:hAnsi="Aptos"/>
                <w:b w:val="0"/>
                <w:sz w:val="17"/>
              </w:rPr>
              <w:t xml:space="preserve">Review industry sources and selected methodological research; compile references.</w:t>
            </w:r>
          </w:p>
        </w:tc>
        <w:tc>
          <w:tcPr>
            <w:tcW w:w="1512" w:type="dxa"/>
            <w:tcBorders/>
            <w:shd w:fill="auto" w:color="auto"/>
            <w:vAlign w:val="center"/>
          </w:tcPr>
          <w:p>
            <w:pPr>
              <w:pStyle w:val="Normal"/>
              <w:spacing w:after="20"/>
            </w:pPr>
            <w:r>
              <w:rPr>
                <w:rFonts w:ascii="Aptos" w:hAnsi="Aptos"/>
                <w:b w:val="0"/>
                <w:sz w:val="17"/>
              </w:rPr>
              <w:t xml:space="preserve">4 hours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3. Data discovery</w:t>
            </w:r>
          </w:p>
        </w:tc>
        <w:tc>
          <w:tcPr>
            <w:tcW w:w="5904" w:type="dxa"/>
            <w:tcBorders/>
            <w:shd w:fill="auto" w:color="auto"/>
            <w:vAlign w:val="center"/>
          </w:tcPr>
          <w:p>
            <w:pPr>
              <w:pStyle w:val="Normal"/>
              <w:spacing w:after="20"/>
            </w:pPr>
            <w:r>
              <w:rPr>
                <w:rFonts w:ascii="Aptos" w:hAnsi="Aptos"/>
                <w:b w:val="0"/>
                <w:sz w:val="17"/>
              </w:rPr>
              <w:t xml:space="preserve">Find or request data, inspect documentation, define data dictionary.</w:t>
            </w:r>
          </w:p>
        </w:tc>
        <w:tc>
          <w:tcPr>
            <w:tcW w:w="1512" w:type="dxa"/>
            <w:tcBorders/>
            <w:shd w:fill="auto" w:color="auto"/>
            <w:vAlign w:val="center"/>
          </w:tcPr>
          <w:p>
            <w:pPr>
              <w:pStyle w:val="Normal"/>
              <w:spacing w:after="20"/>
            </w:pPr>
            <w:r>
              <w:rPr>
                <w:rFonts w:ascii="Aptos" w:hAnsi="Aptos"/>
                <w:b w:val="0"/>
                <w:sz w:val="17"/>
              </w:rPr>
              <w:t xml:space="preserve">4 hours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4. Cleaning and EDA</w:t>
            </w:r>
          </w:p>
        </w:tc>
        <w:tc>
          <w:tcPr>
            <w:tcW w:w="5904" w:type="dxa"/>
            <w:tcBorders/>
            <w:shd w:fill="auto" w:color="auto"/>
            <w:vAlign w:val="center"/>
          </w:tcPr>
          <w:p>
            <w:pPr>
              <w:pStyle w:val="Normal"/>
              <w:spacing w:after="20"/>
            </w:pPr>
            <w:r>
              <w:rPr>
                <w:rFonts w:ascii="Aptos" w:hAnsi="Aptos"/>
                <w:b w:val="0"/>
                <w:sz w:val="17"/>
              </w:rPr>
              <w:t xml:space="preserve">Validate data, analyse distributions/cohorts, create initial charts.</w:t>
            </w:r>
          </w:p>
        </w:tc>
        <w:tc>
          <w:tcPr>
            <w:tcW w:w="1512" w:type="dxa"/>
            <w:tcBorders/>
            <w:shd w:fill="auto" w:color="auto"/>
            <w:vAlign w:val="center"/>
          </w:tcPr>
          <w:p>
            <w:pPr>
              <w:pStyle w:val="Normal"/>
              <w:spacing w:after="20"/>
            </w:pPr>
            <w:r>
              <w:rPr>
                <w:rFonts w:ascii="Aptos" w:hAnsi="Aptos"/>
                <w:b w:val="0"/>
                <w:sz w:val="17"/>
              </w:rPr>
              <w:t xml:space="preserve">6 hours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5. Feature and target design</w:t>
            </w:r>
          </w:p>
        </w:tc>
        <w:tc>
          <w:tcPr>
            <w:tcW w:w="5904" w:type="dxa"/>
            <w:tcBorders/>
            <w:shd w:fill="auto" w:color="auto"/>
            <w:vAlign w:val="center"/>
          </w:tcPr>
          <w:p>
            <w:pPr>
              <w:pStyle w:val="Normal"/>
              <w:spacing w:after="20"/>
            </w:pPr>
            <w:r>
              <w:rPr>
                <w:rFonts w:ascii="Aptos" w:hAnsi="Aptos"/>
                <w:b w:val="0"/>
                <w:sz w:val="17"/>
              </w:rPr>
              <w:t xml:space="preserve">Create snapshot table, target label, and leakage checks.</w:t>
            </w:r>
          </w:p>
        </w:tc>
        <w:tc>
          <w:tcPr>
            <w:tcW w:w="1512" w:type="dxa"/>
            <w:tcBorders/>
            <w:shd w:fill="auto" w:color="auto"/>
            <w:vAlign w:val="center"/>
          </w:tcPr>
          <w:p>
            <w:pPr>
              <w:pStyle w:val="Normal"/>
              <w:spacing w:after="20"/>
            </w:pPr>
            <w:r>
              <w:rPr>
                <w:rFonts w:ascii="Aptos" w:hAnsi="Aptos"/>
                <w:b w:val="0"/>
                <w:sz w:val="17"/>
              </w:rPr>
              <w:t xml:space="preserve">4 hours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6. Baseline modelling plan / prototype</w:t>
            </w:r>
          </w:p>
        </w:tc>
        <w:tc>
          <w:tcPr>
            <w:tcW w:w="5904" w:type="dxa"/>
            <w:tcBorders/>
            <w:shd w:fill="auto" w:color="auto"/>
            <w:vAlign w:val="center"/>
          </w:tcPr>
          <w:p>
            <w:pPr>
              <w:pStyle w:val="Normal"/>
              <w:spacing w:after="20"/>
            </w:pPr>
            <w:r>
              <w:rPr>
                <w:rFonts w:ascii="Aptos" w:hAnsi="Aptos"/>
                <w:b w:val="0"/>
                <w:sz w:val="17"/>
              </w:rPr>
              <w:t xml:space="preserve">Set up baseline, compare candidate methods if data is available.</w:t>
            </w:r>
          </w:p>
        </w:tc>
        <w:tc>
          <w:tcPr>
            <w:tcW w:w="1512" w:type="dxa"/>
            <w:tcBorders/>
            <w:shd w:fill="auto" w:color="auto"/>
            <w:vAlign w:val="center"/>
          </w:tcPr>
          <w:p>
            <w:pPr>
              <w:pStyle w:val="Normal"/>
              <w:spacing w:after="20"/>
            </w:pPr>
            <w:r>
              <w:rPr>
                <w:rFonts w:ascii="Aptos" w:hAnsi="Aptos"/>
                <w:b w:val="0"/>
                <w:sz w:val="17"/>
              </w:rPr>
              <w:t xml:space="preserve">5 hours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7. Interpretation and marketing plan</w:t>
            </w:r>
          </w:p>
        </w:tc>
        <w:tc>
          <w:tcPr>
            <w:tcW w:w="5904" w:type="dxa"/>
            <w:tcBorders/>
            <w:shd w:fill="auto" w:color="auto"/>
            <w:vAlign w:val="center"/>
          </w:tcPr>
          <w:p>
            <w:pPr>
              <w:pStyle w:val="Normal"/>
              <w:spacing w:after="20"/>
            </w:pPr>
            <w:r>
              <w:rPr>
                <w:rFonts w:ascii="Aptos" w:hAnsi="Aptos"/>
                <w:b w:val="0"/>
                <w:sz w:val="17"/>
              </w:rPr>
              <w:t xml:space="preserve">Draft segments, campaign hypotheses, and experiment design.</w:t>
            </w:r>
          </w:p>
        </w:tc>
        <w:tc>
          <w:tcPr>
            <w:tcW w:w="1512" w:type="dxa"/>
            <w:tcBorders/>
            <w:shd w:fill="auto" w:color="auto"/>
            <w:vAlign w:val="center"/>
          </w:tcPr>
          <w:p>
            <w:pPr>
              <w:pStyle w:val="Normal"/>
              <w:spacing w:after="20"/>
            </w:pPr>
            <w:r>
              <w:rPr>
                <w:rFonts w:ascii="Aptos" w:hAnsi="Aptos"/>
                <w:b w:val="0"/>
                <w:sz w:val="17"/>
              </w:rPr>
              <w:t xml:space="preserve">3 hours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8. Reporting and quality review</w:t>
            </w:r>
          </w:p>
        </w:tc>
        <w:tc>
          <w:tcPr>
            <w:tcW w:w="5904" w:type="dxa"/>
            <w:tcBorders/>
            <w:shd w:fill="auto" w:color="auto"/>
            <w:vAlign w:val="center"/>
          </w:tcPr>
          <w:p>
            <w:pPr>
              <w:pStyle w:val="Normal"/>
              <w:spacing w:after="20"/>
            </w:pPr>
            <w:r>
              <w:rPr>
                <w:rFonts w:ascii="Aptos" w:hAnsi="Aptos"/>
                <w:b w:val="0"/>
                <w:sz w:val="17"/>
              </w:rPr>
              <w:t xml:space="preserve">Prepare document/dashboard outline, review citations and limitations.</w:t>
            </w:r>
          </w:p>
        </w:tc>
        <w:tc>
          <w:tcPr>
            <w:tcW w:w="1512" w:type="dxa"/>
            <w:tcBorders/>
            <w:shd w:fill="auto" w:color="auto"/>
            <w:vAlign w:val="center"/>
          </w:tcPr>
          <w:p>
            <w:pPr>
              <w:pStyle w:val="Normal"/>
              <w:spacing w:after="20"/>
            </w:pPr>
            <w:r>
              <w:rPr>
                <w:rFonts w:ascii="Aptos" w:hAnsi="Aptos"/>
                <w:b w:val="0"/>
                <w:sz w:val="17"/>
              </w:rPr>
              <w:t xml:space="preserve">4 hours</w:t>
            </w:r>
          </w:p>
        </w:tc>
      </w:tr>
      <w:tr>
        <w:tblPrEx>
          <w:tblBorders/>
        </w:tblPrEx>
        <w:trPr>
          <w:trHeight w:hRule="atLeast" w:val="20"/>
        </w:trPr>
        <w:tc>
          <w:tcPr>
            <w:tcW w:w="2232" w:type="dxa"/>
            <w:tcBorders/>
            <w:shd w:fill="auto" w:color="auto"/>
            <w:vAlign w:val="center"/>
          </w:tcPr>
          <w:p>
            <w:pPr>
              <w:pStyle w:val="Normal"/>
              <w:spacing w:after="20"/>
            </w:pPr>
            <w:r>
              <w:rPr>
                <w:rFonts w:ascii="Aptos" w:hAnsi="Aptos"/>
                <w:b w:val="0"/>
                <w:sz w:val="17"/>
              </w:rPr>
              <w:t xml:space="preserve">Total</w:t>
            </w:r>
          </w:p>
        </w:tc>
        <w:tc>
          <w:tcPr>
            <w:tcW w:w="5904" w:type="dxa"/>
            <w:tcBorders/>
            <w:shd w:fill="auto" w:color="auto"/>
            <w:vAlign w:val="center"/>
          </w:tcPr>
          <w:p>
            <w:pPr>
              <w:pStyle w:val="Normal"/>
              <w:spacing w:after="20"/>
            </w:pPr>
            <w:r>
              <w:rPr>
                <w:rFonts w:ascii="Aptos" w:hAnsi="Aptos"/>
                <w:b w:val="0"/>
                <w:sz w:val="17"/>
              </w:rPr>
              <w:t xml:space="preserve">Planned workload; actual time may change with data access and quality.</w:t>
            </w:r>
          </w:p>
        </w:tc>
        <w:tc>
          <w:tcPr>
            <w:tcW w:w="1512" w:type="dxa"/>
            <w:tcBorders/>
            <w:shd w:fill="auto" w:color="auto"/>
            <w:vAlign w:val="center"/>
          </w:tcPr>
          <w:p>
            <w:pPr>
              <w:pStyle w:val="Normal"/>
              <w:spacing w:after="20"/>
            </w:pPr>
            <w:r>
              <w:rPr>
                <w:rFonts w:ascii="Aptos" w:hAnsi="Aptos"/>
                <w:b w:val="0"/>
                <w:sz w:val="17"/>
              </w:rPr>
              <w:t xml:space="preserve">33 hours</w:t>
            </w:r>
          </w:p>
        </w:tc>
      </w:tr>
    </w:tbl>
    <w:p>
      <w:pPr>
        <w:pStyle w:val="Normal"/>
        <w:spacing w:after="20"/>
      </w:pPr>
    </w:p>
    <w:p>
      <w:pPr>
        <w:pStyle w:val="Heading 1"/>
        <w:keepNext/>
      </w:pPr>
      <w:r>
        <w:t xml:space="preserve">14. Expected Deliverables</w:t>
      </w:r>
    </w:p>
    <w:p>
      <w:pPr>
        <w:pStyle w:val="List Bullet"/>
        <w:spacing w:after="40"/>
      </w:pPr>
      <w:r>
        <w:t xml:space="preserve">A documented problem statement, research questions, hypotheses, and business rationale.</w:t>
      </w:r>
    </w:p>
    <w:p>
      <w:pPr>
        <w:pStyle w:val="List Bullet"/>
        <w:spacing w:after="40"/>
      </w:pPr>
      <w:r>
        <w:t xml:space="preserve">A source log and data dictionary describing the selected dataset and its limitations.</w:t>
      </w:r>
    </w:p>
    <w:p>
      <w:pPr>
        <w:pStyle w:val="List Bullet"/>
        <w:spacing w:after="40"/>
      </w:pPr>
      <w:r>
        <w:t xml:space="preserve">A reproducible cleaning and exploratory-analysis notebook or script.</w:t>
      </w:r>
    </w:p>
    <w:p>
      <w:pPr>
        <w:pStyle w:val="List Bullet"/>
        <w:spacing w:after="40"/>
      </w:pPr>
      <w:r>
        <w:t xml:space="preserve">A defined target label and a leakage-aware train/validation/test design.</w:t>
      </w:r>
    </w:p>
    <w:p>
      <w:pPr>
        <w:pStyle w:val="List Bullet"/>
        <w:spacing w:after="40"/>
      </w:pPr>
      <w:r>
        <w:t xml:space="preserve">Baseline and candidate-model evaluation, if suitable data is available; otherwise, a clearly labelled modelling blueprint.</w:t>
      </w:r>
    </w:p>
    <w:p>
      <w:pPr>
        <w:pStyle w:val="List Bullet"/>
        <w:spacing w:after="40"/>
      </w:pPr>
      <w:r>
        <w:t xml:space="preserve">A dashboard concept or prototype showing retention KPIs and customer-level risk groups using pseudonymous IDs.</w:t>
      </w:r>
    </w:p>
    <w:p>
      <w:pPr>
        <w:pStyle w:val="List Bullet"/>
        <w:spacing w:after="40"/>
      </w:pPr>
      <w:r>
        <w:t xml:space="preserve">A marketing action plan and proposed A/B test for measuring incremental impact.</w:t>
      </w:r>
    </w:p>
    <w:p>
      <w:pPr>
        <w:pStyle w:val="List Bullet"/>
        <w:spacing w:after="40"/>
      </w:pPr>
      <w:r>
        <w:t xml:space="preserve">A final limitations and responsible-use section.</w:t>
      </w:r>
    </w:p>
    <w:p>
      <w:pPr>
        <w:pStyle w:val="Heading 1"/>
        <w:keepNext/>
      </w:pPr>
      <w:r>
        <w:t xml:space="preserve">15. Conclusion</w:t>
      </w:r>
    </w:p>
    <w:p>
      <w:pPr>
        <w:pStyle w:val="Normal"/>
      </w:pPr>
      <w:r>
        <w:t xml:space="preserve">Customer retention is a practical data science problem for beauty and wellness businesses because repeat purchases can support sustainable growth, while poorly targeted campaigns can waste budget and frustrate customers. Current industry reporting points to a digitally evolving beauty market in which ingredient transparency, online discovery, and personalisation are increasingly important. The proposed project translates these trends into a focused and measurable question: can historical customer behaviour help the brand understand and prioritise future repeat-purchase opportunities?</w:t>
      </w:r>
    </w:p>
    <w:p>
      <w:pPr>
        <w:pStyle w:val="Normal"/>
      </w:pPr>
      <w:r>
        <w:t xml:space="preserve">The recommended approach begins with a clear target definition and exploratory analysis, then progresses to interpretable baseline modelling, time-based evaluation, and marketing-focused communication. Its success should be judged not only by model metrics but also by whether insights support useful, privacy-conscious actions and whether controlled tests demonstrate incremental business value. The next step is to secure a suitable dataset and validate the working assumptions before making any performance or business-impact claims.</w:t>
      </w:r>
    </w:p>
    <w:p>
      <w:pPr>
        <w:pStyle w:val="Heading 1"/>
        <w:keepNext/>
      </w:pPr>
      <w:r>
        <w:t xml:space="preserve">References</w:t>
      </w:r>
    </w:p>
    <w:p>
      <w:pPr>
        <w:pStyle w:val="List Number"/>
        <w:spacing w:after="80"/>
      </w:pPr>
      <w:r>
        <w:t xml:space="preserve">Euromonitor International. (2026, May). Beauty and Personal Care in India. Industry report overview. https://www.euromonitor.com/beauty-and-personal-care-in-india/report?id=417891</w:t>
      </w:r>
    </w:p>
    <w:p>
      <w:pPr>
        <w:pStyle w:val="List Number"/>
        <w:spacing w:after="80"/>
      </w:pPr>
      <w:r>
        <w:t xml:space="preserve">NielsenIQ. (2025, June 26). The Digital Makeover: E-Beauty trends in India. https://nielseniq.com/global/en/insights/report/2025/the-digital-makeover/</w:t>
      </w:r>
    </w:p>
    <w:p>
      <w:pPr>
        <w:pStyle w:val="List Number"/>
        <w:spacing w:after="80"/>
      </w:pPr>
      <w:r>
        <w:t xml:space="preserve">NielsenIQ. (2025, June 26). The New Face of Indian Beauty: Beauty trends in India—ingredient-led innovation. https://nielseniq.com/global/en/insights/report/2025/the-new-face-of-indian-beauty/</w:t>
      </w:r>
    </w:p>
    <w:p>
      <w:pPr>
        <w:pStyle w:val="List Number"/>
        <w:spacing w:after="80"/>
      </w:pPr>
      <w:r>
        <w:t xml:space="preserve">Kumar, P. S., &amp; Kumar, V. P. (2025). Predicting Customer Churn in E-Commerce Using Machine Learning: A Comprehensive Approach. International Journal of Informatics and Information Systems, 9(2). https://doi.org/10.47738/ijiis.v9i2.300</w:t>
      </w:r>
    </w:p>
    <w:p>
      <w:pPr>
        <w:pStyle w:val="List Number"/>
        <w:spacing w:after="80"/>
      </w:pPr>
      <w:r>
        <w:t xml:space="preserve">scikit-learn developers. (n.d.). Model evaluation: quantifying the quality of predictions. https://scikit-</w:t>
      </w:r>
      <w:r>
        <w:t xml:space="preserve">learn.org/stable/modules/model_evaluation.html</w:t>
      </w:r>
    </w:p>
    <w:p>
      <w:pPr>
        <w:pStyle w:val="List Number"/>
        <w:spacing w:after="80"/>
      </w:pPr>
      <w:r>
        <w:t xml:space="preserve">scikit-learn developers. (n.d.). TimeSeriesSplit. https://scikit-learn.org/stable/modules/</w:t>
      </w:r>
      <w:r>
        <w:t xml:space="preserve">generated/sklearn.model_selection.TimeSeriesSplit.html</w:t>
      </w:r>
    </w:p>
    <w:p>
      <w:pPr>
        <w:pStyle w:val="Heading 1"/>
        <w:keepNext/>
      </w:pPr>
      <w:r>
        <w:t xml:space="preserve">Appendix A — Initial KPI Definitions</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76"/>
        <w:gridCol w:w="4536"/>
        <w:gridCol w:w="3024"/>
      </w:tblGrid>
      <w:tr>
        <w:tblPrEx>
          <w:tblBorders/>
        </w:tblPrEx>
        <w:trPr>
          <w:trHeight w:hRule="atLeast" w:val="20"/>
        </w:trPr>
        <w:tc>
          <w:tcPr>
            <w:tcW w:w="2376" w:type="dxa"/>
            <w:tcBorders/>
            <w:shd w:fill="7C3F66" w:color="auto" w:val="clear"/>
            <w:vAlign w:val="center"/>
          </w:tcPr>
          <w:p>
            <w:pPr>
              <w:pStyle w:val="Normal"/>
              <w:spacing w:after="20"/>
            </w:pPr>
            <w:r>
              <w:rPr>
                <w:rFonts w:ascii="Aptos" w:hAnsi="Aptos"/>
                <w:b/>
                <w:color w:val="FFFFFF"/>
                <w:sz w:val="18"/>
              </w:rPr>
              <w:t xml:space="preserve">KPI</w:t>
            </w:r>
          </w:p>
        </w:tc>
        <w:tc>
          <w:tcPr>
            <w:tcW w:w="4536" w:type="dxa"/>
            <w:tcBorders/>
            <w:shd w:fill="7C3F66" w:color="auto" w:val="clear"/>
            <w:vAlign w:val="center"/>
          </w:tcPr>
          <w:p>
            <w:pPr>
              <w:pStyle w:val="Normal"/>
              <w:spacing w:after="20"/>
            </w:pPr>
            <w:r>
              <w:rPr>
                <w:rFonts w:ascii="Aptos" w:hAnsi="Aptos"/>
                <w:b/>
                <w:color w:val="FFFFFF"/>
                <w:sz w:val="18"/>
              </w:rPr>
              <w:t xml:space="preserve">Definition</w:t>
            </w:r>
          </w:p>
        </w:tc>
        <w:tc>
          <w:tcPr>
            <w:tcW w:w="3024" w:type="dxa"/>
            <w:tcBorders/>
            <w:shd w:fill="7C3F66" w:color="auto" w:val="clear"/>
            <w:vAlign w:val="center"/>
          </w:tcPr>
          <w:p>
            <w:pPr>
              <w:pStyle w:val="Normal"/>
              <w:spacing w:after="20"/>
            </w:pPr>
            <w:r>
              <w:rPr>
                <w:rFonts w:ascii="Aptos" w:hAnsi="Aptos"/>
                <w:b/>
                <w:color w:val="FFFFFF"/>
                <w:sz w:val="18"/>
              </w:rPr>
              <w:t xml:space="preserve">Interpretation</w:t>
            </w:r>
          </w:p>
        </w:tc>
      </w:tr>
      <w:tr>
        <w:tblPrEx>
          <w:tblBorders/>
        </w:tblPrEx>
        <w:trPr>
          <w:trHeight w:hRule="atLeast" w:val="20"/>
        </w:trPr>
        <w:tc>
          <w:tcPr>
            <w:tcW w:w="2376" w:type="dxa"/>
            <w:tcBorders/>
            <w:shd w:fill="auto" w:color="auto"/>
            <w:vAlign w:val="center"/>
          </w:tcPr>
          <w:p>
            <w:pPr>
              <w:pStyle w:val="Normal"/>
              <w:spacing w:after="20"/>
            </w:pPr>
            <w:r>
              <w:rPr>
                <w:rFonts w:ascii="Aptos" w:hAnsi="Aptos"/>
                <w:b w:val="0"/>
                <w:sz w:val="17"/>
              </w:rPr>
              <w:t xml:space="preserve">60-day repeat-purchase rate</w:t>
            </w:r>
          </w:p>
        </w:tc>
        <w:tc>
          <w:tcPr>
            <w:tcW w:w="4536" w:type="dxa"/>
            <w:tcBorders/>
            <w:shd w:fill="auto" w:color="auto"/>
            <w:vAlign w:val="center"/>
          </w:tcPr>
          <w:p>
            <w:pPr>
              <w:pStyle w:val="Normal"/>
              <w:spacing w:after="20"/>
            </w:pPr>
            <w:r>
              <w:rPr>
                <w:rFonts w:ascii="Aptos" w:hAnsi="Aptos"/>
                <w:b w:val="0"/>
                <w:sz w:val="17"/>
              </w:rPr>
              <w:t xml:space="preserve">Customers with a qualifying purchase in the 60 days after the snapshot / eligible customers with full follow-up.</w:t>
            </w:r>
          </w:p>
        </w:tc>
        <w:tc>
          <w:tcPr>
            <w:tcW w:w="3024" w:type="dxa"/>
            <w:tcBorders/>
            <w:shd w:fill="auto" w:color="auto"/>
            <w:vAlign w:val="center"/>
          </w:tcPr>
          <w:p>
            <w:pPr>
              <w:pStyle w:val="Normal"/>
              <w:spacing w:after="20"/>
            </w:pPr>
            <w:r>
              <w:rPr>
                <w:rFonts w:ascii="Aptos" w:hAnsi="Aptos"/>
                <w:b w:val="0"/>
                <w:sz w:val="17"/>
              </w:rPr>
              <w:t xml:space="preserve">Primary outcome rate for the chosen horizon.</w:t>
            </w:r>
          </w:p>
        </w:tc>
      </w:tr>
      <w:tr>
        <w:tblPrEx>
          <w:tblBorders/>
        </w:tblPrEx>
        <w:trPr>
          <w:trHeight w:hRule="atLeast" w:val="20"/>
        </w:trPr>
        <w:tc>
          <w:tcPr>
            <w:tcW w:w="2376" w:type="dxa"/>
            <w:tcBorders/>
            <w:shd w:fill="auto" w:color="auto"/>
            <w:vAlign w:val="center"/>
          </w:tcPr>
          <w:p>
            <w:pPr>
              <w:pStyle w:val="Normal"/>
              <w:spacing w:after="20"/>
            </w:pPr>
            <w:r>
              <w:rPr>
                <w:rFonts w:ascii="Aptos" w:hAnsi="Aptos"/>
                <w:b w:val="0"/>
                <w:sz w:val="17"/>
              </w:rPr>
              <w:t xml:space="preserve">Time to second order</w:t>
            </w:r>
          </w:p>
        </w:tc>
        <w:tc>
          <w:tcPr>
            <w:tcW w:w="4536" w:type="dxa"/>
            <w:tcBorders/>
            <w:shd w:fill="auto" w:color="auto"/>
            <w:vAlign w:val="center"/>
          </w:tcPr>
          <w:p>
            <w:pPr>
              <w:pStyle w:val="Normal"/>
              <w:spacing w:after="20"/>
            </w:pPr>
            <w:r>
              <w:rPr>
                <w:rFonts w:ascii="Aptos" w:hAnsi="Aptos"/>
                <w:b w:val="0"/>
                <w:sz w:val="17"/>
              </w:rPr>
              <w:t xml:space="preserve">Days between first and second completed orders for customers who make a second order.</w:t>
            </w:r>
          </w:p>
        </w:tc>
        <w:tc>
          <w:tcPr>
            <w:tcW w:w="3024" w:type="dxa"/>
            <w:tcBorders/>
            <w:shd w:fill="auto" w:color="auto"/>
            <w:vAlign w:val="center"/>
          </w:tcPr>
          <w:p>
            <w:pPr>
              <w:pStyle w:val="Normal"/>
              <w:spacing w:after="20"/>
            </w:pPr>
            <w:r>
              <w:rPr>
                <w:rFonts w:ascii="Aptos" w:hAnsi="Aptos"/>
                <w:b w:val="0"/>
                <w:sz w:val="17"/>
              </w:rPr>
              <w:t xml:space="preserve">Helps assess onboarding and replenishment timing.</w:t>
            </w:r>
          </w:p>
        </w:tc>
      </w:tr>
      <w:tr>
        <w:tblPrEx>
          <w:tblBorders/>
        </w:tblPrEx>
        <w:trPr>
          <w:trHeight w:hRule="atLeast" w:val="20"/>
        </w:trPr>
        <w:tc>
          <w:tcPr>
            <w:tcW w:w="2376" w:type="dxa"/>
            <w:tcBorders/>
            <w:shd w:fill="auto" w:color="auto"/>
            <w:vAlign w:val="center"/>
          </w:tcPr>
          <w:p>
            <w:pPr>
              <w:pStyle w:val="Normal"/>
              <w:spacing w:after="20"/>
            </w:pPr>
            <w:r>
              <w:rPr>
                <w:rFonts w:ascii="Aptos" w:hAnsi="Aptos"/>
                <w:b w:val="0"/>
                <w:sz w:val="17"/>
              </w:rPr>
              <w:t xml:space="preserve">Average order value (AOV)</w:t>
            </w:r>
          </w:p>
        </w:tc>
        <w:tc>
          <w:tcPr>
            <w:tcW w:w="4536" w:type="dxa"/>
            <w:tcBorders/>
            <w:shd w:fill="auto" w:color="auto"/>
            <w:vAlign w:val="center"/>
          </w:tcPr>
          <w:p>
            <w:pPr>
              <w:pStyle w:val="Normal"/>
              <w:spacing w:after="20"/>
            </w:pPr>
            <w:r>
              <w:rPr>
                <w:rFonts w:ascii="Aptos" w:hAnsi="Aptos"/>
                <w:b w:val="0"/>
                <w:sz w:val="17"/>
              </w:rPr>
              <w:t xml:space="preserve">Net sales from qualifying orders / number of qualifying orders, using a consistent refund rule.</w:t>
            </w:r>
          </w:p>
        </w:tc>
        <w:tc>
          <w:tcPr>
            <w:tcW w:w="3024" w:type="dxa"/>
            <w:tcBorders/>
            <w:shd w:fill="auto" w:color="auto"/>
            <w:vAlign w:val="center"/>
          </w:tcPr>
          <w:p>
            <w:pPr>
              <w:pStyle w:val="Normal"/>
              <w:spacing w:after="20"/>
            </w:pPr>
            <w:r>
              <w:rPr>
                <w:rFonts w:ascii="Aptos" w:hAnsi="Aptos"/>
                <w:b w:val="0"/>
                <w:sz w:val="17"/>
              </w:rPr>
              <w:t xml:space="preserve">Describes basket economics; not a retention measure by itself.</w:t>
            </w:r>
          </w:p>
        </w:tc>
      </w:tr>
      <w:tr>
        <w:tblPrEx>
          <w:tblBorders/>
        </w:tblPrEx>
        <w:trPr>
          <w:trHeight w:hRule="atLeast" w:val="20"/>
        </w:trPr>
        <w:tc>
          <w:tcPr>
            <w:tcW w:w="2376" w:type="dxa"/>
            <w:tcBorders/>
            <w:shd w:fill="auto" w:color="auto"/>
            <w:vAlign w:val="center"/>
          </w:tcPr>
          <w:p>
            <w:pPr>
              <w:pStyle w:val="Normal"/>
              <w:spacing w:after="20"/>
            </w:pPr>
            <w:r>
              <w:rPr>
                <w:rFonts w:ascii="Aptos" w:hAnsi="Aptos"/>
                <w:b w:val="0"/>
                <w:sz w:val="17"/>
              </w:rPr>
              <w:t xml:space="preserve">Discount share</w:t>
            </w:r>
          </w:p>
        </w:tc>
        <w:tc>
          <w:tcPr>
            <w:tcW w:w="4536" w:type="dxa"/>
            <w:tcBorders/>
            <w:shd w:fill="auto" w:color="auto"/>
            <w:vAlign w:val="center"/>
          </w:tcPr>
          <w:p>
            <w:pPr>
              <w:pStyle w:val="Normal"/>
              <w:spacing w:after="20"/>
            </w:pPr>
            <w:r>
              <w:rPr>
                <w:rFonts w:ascii="Aptos" w:hAnsi="Aptos"/>
                <w:b w:val="0"/>
                <w:sz w:val="17"/>
              </w:rPr>
              <w:t xml:space="preserve">Orders using a discount / eligible orders, or discount value divided by gross value.</w:t>
            </w:r>
          </w:p>
        </w:tc>
        <w:tc>
          <w:tcPr>
            <w:tcW w:w="3024" w:type="dxa"/>
            <w:tcBorders/>
            <w:shd w:fill="auto" w:color="auto"/>
            <w:vAlign w:val="center"/>
          </w:tcPr>
          <w:p>
            <w:pPr>
              <w:pStyle w:val="Normal"/>
              <w:spacing w:after="20"/>
            </w:pPr>
            <w:r>
              <w:rPr>
                <w:rFonts w:ascii="Aptos" w:hAnsi="Aptos"/>
                <w:b w:val="0"/>
                <w:sz w:val="17"/>
              </w:rPr>
              <w:t xml:space="preserve">Indicates promotional reliance, depending on the selected definition.</w:t>
            </w:r>
          </w:p>
        </w:tc>
      </w:tr>
      <w:tr>
        <w:tblPrEx>
          <w:tblBorders/>
        </w:tblPrEx>
        <w:trPr>
          <w:trHeight w:hRule="atLeast" w:val="20"/>
        </w:trPr>
        <w:tc>
          <w:tcPr>
            <w:tcW w:w="2376" w:type="dxa"/>
            <w:tcBorders/>
            <w:shd w:fill="auto" w:color="auto"/>
            <w:vAlign w:val="center"/>
          </w:tcPr>
          <w:p>
            <w:pPr>
              <w:pStyle w:val="Normal"/>
              <w:spacing w:after="20"/>
            </w:pPr>
            <w:r>
              <w:rPr>
                <w:rFonts w:ascii="Aptos" w:hAnsi="Aptos"/>
                <w:b w:val="0"/>
                <w:sz w:val="17"/>
              </w:rPr>
              <w:t xml:space="preserve">Campaign incremental lift</w:t>
            </w:r>
          </w:p>
        </w:tc>
        <w:tc>
          <w:tcPr>
            <w:tcW w:w="4536" w:type="dxa"/>
            <w:tcBorders/>
            <w:shd w:fill="auto" w:color="auto"/>
            <w:vAlign w:val="center"/>
          </w:tcPr>
          <w:p>
            <w:pPr>
              <w:pStyle w:val="Normal"/>
              <w:spacing w:after="20"/>
            </w:pPr>
            <w:r>
              <w:rPr>
                <w:rFonts w:ascii="Aptos" w:hAnsi="Aptos"/>
                <w:b w:val="0"/>
                <w:sz w:val="17"/>
              </w:rPr>
              <w:t xml:space="preserve">Outcome rate in treatment group minus outcome rate in control group.</w:t>
            </w:r>
          </w:p>
        </w:tc>
        <w:tc>
          <w:tcPr>
            <w:tcW w:w="3024" w:type="dxa"/>
            <w:tcBorders/>
            <w:shd w:fill="auto" w:color="auto"/>
            <w:vAlign w:val="center"/>
          </w:tcPr>
          <w:p>
            <w:pPr>
              <w:pStyle w:val="Normal"/>
              <w:spacing w:after="20"/>
            </w:pPr>
            <w:r>
              <w:rPr>
                <w:rFonts w:ascii="Aptos" w:hAnsi="Aptos"/>
                <w:b w:val="0"/>
                <w:sz w:val="17"/>
              </w:rPr>
              <w:t xml:space="preserve">Estimates incremental impact when assignment and execution support a </w:t>
            </w:r>
            <w:r>
              <w:rPr>
                <w:rFonts w:ascii="Aptos" w:hAnsi="Aptos"/>
                <w:b w:val="0"/>
                <w:sz w:val="17"/>
              </w:rPr>
              <w:t xml:space="preserve">valid experiment.</w:t>
            </w:r>
          </w:p>
        </w:tc>
      </w:tr>
      <w:tr>
        <w:tblPrEx>
          <w:tblBorders/>
        </w:tblPrEx>
        <w:trPr>
          <w:trHeight w:hRule="atLeast" w:val="20"/>
        </w:trPr>
        <w:tc>
          <w:tcPr>
            <w:tcW w:w="2376" w:type="dxa"/>
            <w:tcBorders/>
            <w:shd w:fill="auto" w:color="auto"/>
            <w:vAlign w:val="center"/>
          </w:tcPr>
          <w:p>
            <w:pPr>
              <w:pStyle w:val="Normal"/>
              <w:spacing w:after="20"/>
            </w:pPr>
            <w:r>
              <w:rPr>
                <w:rFonts w:ascii="Aptos" w:hAnsi="Aptos"/>
                <w:b w:val="0"/>
                <w:sz w:val="17"/>
              </w:rPr>
              <w:t xml:space="preserve">Contribution margin after campaign</w:t>
            </w:r>
          </w:p>
        </w:tc>
        <w:tc>
          <w:tcPr>
            <w:tcW w:w="4536" w:type="dxa"/>
            <w:tcBorders/>
            <w:shd w:fill="auto" w:color="auto"/>
            <w:vAlign w:val="center"/>
          </w:tcPr>
          <w:p>
            <w:pPr>
              <w:pStyle w:val="Normal"/>
              <w:spacing w:after="20"/>
            </w:pPr>
            <w:r>
              <w:rPr>
                <w:rFonts w:ascii="Aptos" w:hAnsi="Aptos"/>
                <w:b w:val="0"/>
                <w:sz w:val="17"/>
              </w:rPr>
              <w:t xml:space="preserve">Incremental revenue less variable product, fulfilment, discount, and campaign costs, under an agreed accounting definition.</w:t>
            </w:r>
          </w:p>
        </w:tc>
        <w:tc>
          <w:tcPr>
            <w:tcW w:w="3024" w:type="dxa"/>
            <w:tcBorders/>
            <w:shd w:fill="auto" w:color="auto"/>
            <w:vAlign w:val="center"/>
          </w:tcPr>
          <w:p>
            <w:pPr>
              <w:pStyle w:val="Normal"/>
              <w:spacing w:after="20"/>
            </w:pPr>
            <w:r>
              <w:rPr>
                <w:rFonts w:ascii="Aptos" w:hAnsi="Aptos"/>
                <w:b w:val="0"/>
                <w:sz w:val="17"/>
              </w:rPr>
              <w:t xml:space="preserve">Connects marketing performance to business value.</w:t>
            </w:r>
          </w:p>
        </w:tc>
      </w:tr>
    </w:tbl>
    <w:p>
      <w:pPr>
        <w:pStyle w:val="Normal"/>
        <w:spacing w:after="20"/>
      </w:pPr>
    </w:p>
    <w:p>
      <w:pPr>
        <w:pStyle w:val="Heading 1"/>
        <w:keepNext/>
      </w:pPr>
      <w:r>
        <w:t xml:space="preserve">Appendix B — Questions to Resolve Before Analysis</w:t>
      </w:r>
    </w:p>
    <w:p>
      <w:pPr>
        <w:pStyle w:val="List Bullet"/>
        <w:spacing w:after="40"/>
      </w:pPr>
      <w:r>
        <w:t xml:space="preserve">Which business and product category will the study represent?</w:t>
      </w:r>
    </w:p>
    <w:p>
      <w:pPr>
        <w:pStyle w:val="List Bullet"/>
        <w:spacing w:after="40"/>
      </w:pPr>
      <w:r>
        <w:t xml:space="preserve">Is the main objective to predict a repeat purchase, predict inactivity, or prioritise customers who will respond to an intervention? These are different targets.</w:t>
      </w:r>
    </w:p>
    <w:p>
      <w:pPr>
        <w:pStyle w:val="List Bullet"/>
        <w:spacing w:after="40"/>
      </w:pPr>
      <w:r>
        <w:t xml:space="preserve">What replenishment window is appropriate for the products under study?</w:t>
      </w:r>
    </w:p>
    <w:p>
      <w:pPr>
        <w:pStyle w:val="List Bullet"/>
        <w:spacing w:after="40"/>
      </w:pPr>
      <w:r>
        <w:t xml:space="preserve">Are cancelled orders, refunds, returns, subscriptions, and marketplace orders represented consistently?</w:t>
      </w:r>
    </w:p>
    <w:p>
      <w:pPr>
        <w:pStyle w:val="List Bullet"/>
        <w:spacing w:after="40"/>
      </w:pPr>
      <w:r>
        <w:t xml:space="preserve">Which customer contact channels are consented and available for retention experiments?</w:t>
      </w:r>
    </w:p>
    <w:p>
      <w:pPr>
        <w:pStyle w:val="List Bullet"/>
        <w:spacing w:after="40"/>
      </w:pPr>
      <w:r>
        <w:t xml:space="preserve">What minimum precision, recall, campaign cost, and margin threshold would make a model useful to the business?</w:t>
      </w:r>
    </w:p>
    <w:sectPr>
      <w:headerReference w:type="default" r:id="rId1"/>
      <w:footerReference w:type="default" r:id="rId2"/>
      <w:type w:val="nextPage"/>
      <w:pgSz w:w="12240" w:h="15840"/>
      <w:pgMar w:top="1037" w:right="1152" w:bottom="1008" w:left="1152"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jc w:val="center"/>
    </w:pPr>
    <w:r>
      <w:rPr>
        <w:color w:val="786473"/>
        <w:sz w:val="16"/>
      </w:rPr>
      <w:t xml:space="preserve">Week 1 Report • Customer Retention in Online Skincare</w:t>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jc w:val="right"/>
    </w:pPr>
    <w:r>
      <w:rPr>
        <w:color w:val="786473"/>
        <w:sz w:val="16"/>
      </w:rPr>
      <w:t xml:space="preserve">BEAUTY &amp; WELLNESS | DATA SCIENCE ORIENTATION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nsid w:val="FFFFFF7E"/>
    <w:lvl w:ilvl="0">
      <w:start w:val="1"/>
      <w:numFmt w:val="decimal"/>
      <w:pStyle w:val="List Number 3"/>
      <w:suff w:val="tab"/>
      <w:lvlText w:val="%1."/>
      <w:pPr>
        <w:ind w:left="1080" w:hanging="360"/>
        <w:tabs>
          <w:tab w:val="num" w:pos="108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3">
    <w:nsid w:val="FFFFFF7F"/>
    <w:lvl w:ilvl="0">
      <w:start w:val="1"/>
      <w:numFmt w:val="decimal"/>
      <w:pStyle w:val="List Number 2"/>
      <w:suff w:val="tab"/>
      <w:lvlText w:val="%1."/>
      <w:pPr>
        <w:ind w:left="720" w:hanging="360"/>
        <w:tabs>
          <w:tab w:val="num" w:pos="72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5">
    <w:nsid w:val="FFFFFF82"/>
    <w:lvl w:ilvl="0">
      <w:start w:val="0"/>
      <w:numFmt w:val="bullet"/>
      <w:pStyle w:val="List Bullet 3"/>
      <w:suff w:val="tab"/>
      <w:lvlText w:val=""/>
      <w:pPr>
        <w:ind w:left="1080" w:hanging="360"/>
        <w:tabs>
          <w:tab w:val="num" w:pos="108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6">
    <w:nsid w:val="FFFFFF83"/>
    <w:lvl w:ilvl="0">
      <w:start w:val="0"/>
      <w:numFmt w:val="bullet"/>
      <w:pStyle w:val="List Bullet 2"/>
      <w:suff w:val="tab"/>
      <w:lvlText w:val=""/>
      <w:pPr>
        <w:ind w:left="720" w:hanging="360"/>
        <w:tabs>
          <w:tab w:val="num" w:pos="72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7">
    <w:nsid w:val="FFFFFF88"/>
    <w:lvl w:ilvl="0">
      <w:start w:val="1"/>
      <w:numFmt w:val="decimal"/>
      <w:pStyle w:val="List Number"/>
      <w:suff w:val="tab"/>
      <w:lvlText w:val="%1."/>
      <w:pPr>
        <w:ind w:left="360" w:hanging="360"/>
        <w:tabs>
          <w:tab w:val="num" w:pos="36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8">
    <w:nsid w:val="FFFFFF89"/>
    <w:lvl w:ilvl="0">
      <w:start w:val="0"/>
      <w:numFmt w:val="bullet"/>
      <w:pStyle w:val="List Bullet"/>
      <w:suff w:val="tab"/>
      <w:lvlText w:val=""/>
      <w:pPr>
        <w:ind w:left="360" w:hanging="360"/>
        <w:tabs>
          <w:tab w:val="num" w:pos="36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num w:numId="3">
    <w:abstractNumId w:val="2"/>
  </w:num>
  <w:num w:numId="4">
    <w:abstractNumId w:val="3"/>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US" w:eastAsia="ja-JP"/>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styleId="Normal">
    <w:name w:val="Normal"/>
    <w:next w:val="Normal"/>
    <w:pPr>
      <w:spacing w:after="100" w:line="259" w:lineRule="auto"/>
    </w:pPr>
    <w:rPr>
      <w:rFonts w:ascii="Aptos" w:hAnsi="Aptos"/>
      <w:sz w:val="20"/>
    </w:rPr>
  </w:style>
  <w:style w:type="paragraph" w:styleId="Header">
    <w:name w:val="Header"/>
    <w:basedOn w:val="Normal"/>
    <w:next w:val="Header"/>
    <w:link w:val="Header Char"/>
    <w:pPr>
      <w:spacing w:after="0" w:line="240" w:lineRule="auto"/>
      <w:tabs>
        <w:tab w:val="center" w:pos="4680"/>
        <w:tab w:val="right" w:pos="9360"/>
      </w:tabs>
    </w:pPr>
  </w:style>
  <w:style w:type="character" w:styleId="Header Char">
    <w:name w:val="Header Char"/>
    <w:basedOn w:val="Default Paragraph Font"/>
    <w:link w:val="Header"/>
  </w:style>
  <w:style w:type="character" w:styleId="Default Paragraph Font">
    <w:name w:val="Default Paragraph Font"/>
  </w:style>
  <w:style w:type="paragraph" w:styleId="Footer">
    <w:name w:val="Footer"/>
    <w:basedOn w:val="Normal"/>
    <w:next w:val="Footer"/>
    <w:link w:val="Footer Char"/>
    <w:pPr>
      <w:spacing w:after="0" w:line="240" w:lineRule="auto"/>
      <w:tabs>
        <w:tab w:val="center" w:pos="4680"/>
        <w:tab w:val="right" w:pos="9360"/>
      </w:tabs>
    </w:pPr>
  </w:style>
  <w:style w:type="character" w:styleId="Footer Char">
    <w:name w:val="Footer Char"/>
    <w:basedOn w:val="Default Paragraph Font"/>
    <w:link w:val="Footer"/>
  </w:style>
  <w:style w:type="paragraph" w:styleId="Heading 1">
    <w:name w:val="Heading 1"/>
    <w:basedOn w:val="Normal"/>
    <w:next w:val="Normal"/>
    <w:link w:val="Heading 1 Char"/>
    <w:pPr>
      <w:keepNext/>
      <w:keepLines/>
      <w:outlineLvl w:val="0"/>
      <w:spacing w:before="480" w:after="0"/>
    </w:pPr>
    <w:rPr>
      <w:rFonts w:ascii="Aptos Display" w:eastAsiaTheme="majorEastAsia" w:hAnsi="Aptos Display" w:cstheme="majorBidi"/>
      <w:b/>
      <w:bCs/>
      <w:color w:val="7C3F66"/>
      <w:sz w:val="36"/>
      <w:szCs w:val="28"/>
    </w:rPr>
  </w:style>
  <w:style w:type="character" w:styleId="Heading 1 Char">
    <w:name w:val="Heading 1 Char"/>
    <w:basedOn w:val="Default Paragraph Font"/>
    <w:link w:val="Heading 1"/>
    <w:rPr>
      <w:rFonts w:asciiTheme="majorHAnsi" w:eastAsiaTheme="majorEastAsia" w:hAnsiTheme="majorHAnsi" w:cstheme="majorBidi"/>
      <w:b/>
      <w:bCs/>
      <w:color w:val="365F91"/>
      <w:sz w:val="28"/>
      <w:szCs w:val="28"/>
    </w:rPr>
  </w:style>
  <w:style w:type="paragraph" w:styleId="Heading 2">
    <w:name w:val="Heading 2"/>
    <w:basedOn w:val="Normal"/>
    <w:next w:val="Normal"/>
    <w:link w:val="Heading 2 Char"/>
    <w:pPr>
      <w:keepNext/>
      <w:keepLines/>
      <w:outlineLvl w:val="1"/>
      <w:spacing w:before="200" w:after="0"/>
    </w:pPr>
    <w:rPr>
      <w:rFonts w:ascii="Aptos Display" w:eastAsiaTheme="majorEastAsia" w:hAnsi="Aptos Display" w:cstheme="majorBidi"/>
      <w:b/>
      <w:bCs/>
      <w:color w:val="A14F78"/>
      <w:sz w:val="26"/>
      <w:szCs w:val="26"/>
    </w:rPr>
  </w:style>
  <w:style w:type="character" w:styleId="Heading 2 Char">
    <w:name w:val="Heading 2 Char"/>
    <w:basedOn w:val="Default Paragraph Font"/>
    <w:link w:val="Heading 2"/>
    <w:rPr>
      <w:rFonts w:asciiTheme="majorHAnsi" w:eastAsiaTheme="majorEastAsia" w:hAnsiTheme="majorHAnsi" w:cstheme="majorBidi"/>
      <w:b/>
      <w:bCs/>
      <w:color w:val="4F81BD"/>
      <w:sz w:val="26"/>
      <w:szCs w:val="26"/>
    </w:rPr>
  </w:style>
  <w:style w:type="paragraph" w:styleId="Heading 3">
    <w:name w:val="Heading 3"/>
    <w:basedOn w:val="Normal"/>
    <w:next w:val="Normal"/>
    <w:link w:val="Heading 3 Char"/>
    <w:pPr>
      <w:keepNext/>
      <w:keepLines/>
      <w:outlineLvl w:val="2"/>
      <w:spacing w:before="200" w:after="0"/>
    </w:pPr>
    <w:rPr>
      <w:rFonts w:ascii="Aptos Display" w:eastAsiaTheme="majorEastAsia" w:hAnsi="Aptos Display" w:cstheme="majorBidi"/>
      <w:b/>
      <w:bCs/>
      <w:color w:val="5B4862"/>
      <w:sz w:val="22"/>
    </w:rPr>
  </w:style>
  <w:style w:type="character" w:styleId="Heading 3 Char">
    <w:name w:val="Heading 3 Char"/>
    <w:basedOn w:val="Default Paragraph Font"/>
    <w:link w:val="Heading 3"/>
    <w:rPr>
      <w:rFonts w:asciiTheme="majorHAnsi" w:eastAsiaTheme="majorEastAsia" w:hAnsiTheme="majorHAnsi" w:cstheme="majorBidi"/>
      <w:b/>
      <w:bCs/>
      <w:color w:val="4F81BD"/>
    </w:rPr>
  </w:style>
  <w:style w:type="paragraph" w:styleId="Heading 4">
    <w:name w:val="Heading 4"/>
    <w:basedOn w:val="Normal"/>
    <w:next w:val="Normal"/>
    <w:link w:val="Heading 4 Char"/>
    <w:pPr>
      <w:keepNext/>
      <w:keepLines/>
      <w:outlineLvl w:val="3"/>
      <w:spacing w:before="200" w:after="0"/>
    </w:pPr>
    <w:rPr>
      <w:rFonts w:asciiTheme="majorHAnsi" w:eastAsiaTheme="majorEastAsia" w:hAnsiTheme="majorHAnsi" w:cstheme="majorBidi"/>
      <w:b/>
      <w:bCs/>
      <w:i/>
      <w:iCs/>
      <w:color w:val="4F81BD"/>
    </w:rPr>
  </w:style>
  <w:style w:type="character" w:styleId="Heading 4 Char">
    <w:name w:val="Heading 4 Char"/>
    <w:basedOn w:val="Default Paragraph Font"/>
    <w:link w:val="Heading 4"/>
    <w:rPr>
      <w:rFonts w:asciiTheme="majorHAnsi" w:eastAsiaTheme="majorEastAsia" w:hAnsiTheme="majorHAnsi" w:cstheme="majorBidi"/>
      <w:b/>
      <w:bCs/>
      <w:i/>
      <w:iCs/>
      <w:color w:val="4F81BD"/>
    </w:rPr>
  </w:style>
  <w:style w:type="paragraph" w:styleId="Heading 5">
    <w:name w:val="Heading 5"/>
    <w:basedOn w:val="Normal"/>
    <w:next w:val="Normal"/>
    <w:link w:val="Heading 5 Char"/>
    <w:pPr>
      <w:keepNext/>
      <w:keepLines/>
      <w:outlineLvl w:val="4"/>
      <w:spacing w:before="200" w:after="0"/>
    </w:pPr>
    <w:rPr>
      <w:rFonts w:asciiTheme="majorHAnsi" w:eastAsiaTheme="majorEastAsia" w:hAnsiTheme="majorHAnsi" w:cstheme="majorBidi"/>
      <w:color w:val="243F60"/>
    </w:rPr>
  </w:style>
  <w:style w:type="character" w:styleId="Heading 5 Char">
    <w:name w:val="Heading 5 Char"/>
    <w:basedOn w:val="Default Paragraph Font"/>
    <w:link w:val="Heading 5"/>
    <w:rPr>
      <w:rFonts w:asciiTheme="majorHAnsi" w:eastAsiaTheme="majorEastAsia" w:hAnsiTheme="majorHAnsi" w:cstheme="majorBidi"/>
      <w:color w:val="243F60"/>
    </w:rPr>
  </w:style>
  <w:style w:type="paragraph" w:styleId="Heading 6">
    <w:name w:val="Heading 6"/>
    <w:basedOn w:val="Normal"/>
    <w:next w:val="Normal"/>
    <w:link w:val="Heading 6 Char"/>
    <w:pPr>
      <w:keepNext/>
      <w:keepLines/>
      <w:outlineLvl w:val="5"/>
      <w:spacing w:before="200" w:after="0"/>
    </w:pPr>
    <w:rPr>
      <w:rFonts w:asciiTheme="majorHAnsi" w:eastAsiaTheme="majorEastAsia" w:hAnsiTheme="majorHAnsi" w:cstheme="majorBidi"/>
      <w:i/>
      <w:iCs/>
      <w:color w:val="243F60"/>
    </w:rPr>
  </w:style>
  <w:style w:type="character" w:styleId="Heading 6 Char">
    <w:name w:val="Heading 6 Char"/>
    <w:basedOn w:val="Default Paragraph Font"/>
    <w:link w:val="Heading 6"/>
    <w:rPr>
      <w:rFonts w:asciiTheme="majorHAnsi" w:eastAsiaTheme="majorEastAsia" w:hAnsiTheme="majorHAnsi" w:cstheme="majorBidi"/>
      <w:i/>
      <w:iCs/>
      <w:color w:val="243F60"/>
    </w:rPr>
  </w:style>
  <w:style w:type="paragraph" w:styleId="Heading 7">
    <w:name w:val="Heading 7"/>
    <w:basedOn w:val="Normal"/>
    <w:next w:val="Normal"/>
    <w:link w:val="Heading 7 Char"/>
    <w:pPr>
      <w:keepNext/>
      <w:keepLines/>
      <w:outlineLvl w:val="6"/>
      <w:spacing w:before="200" w:after="0"/>
    </w:pPr>
    <w:rPr>
      <w:rFonts w:asciiTheme="majorHAnsi" w:eastAsiaTheme="majorEastAsia" w:hAnsiTheme="majorHAnsi" w:cstheme="majorBidi"/>
      <w:i/>
      <w:iCs/>
      <w:color w:val="404040"/>
    </w:rPr>
  </w:style>
  <w:style w:type="character" w:styleId="Heading 7 Char">
    <w:name w:val="Heading 7 Char"/>
    <w:basedOn w:val="Default Paragraph Font"/>
    <w:link w:val="Heading 7"/>
    <w:rPr>
      <w:rFonts w:asciiTheme="majorHAnsi" w:eastAsiaTheme="majorEastAsia" w:hAnsiTheme="majorHAnsi" w:cstheme="majorBidi"/>
      <w:i/>
      <w:iCs/>
      <w:color w:val="404040"/>
    </w:rPr>
  </w:style>
  <w:style w:type="paragraph" w:styleId="Heading 8">
    <w:name w:val="Heading 8"/>
    <w:basedOn w:val="Normal"/>
    <w:next w:val="Normal"/>
    <w:link w:val="Heading 8 Char"/>
    <w:pPr>
      <w:keepNext/>
      <w:keepLines/>
      <w:outlineLvl w:val="7"/>
      <w:spacing w:before="200" w:after="0"/>
    </w:pPr>
    <w:rPr>
      <w:rFonts w:asciiTheme="majorHAnsi" w:eastAsiaTheme="majorEastAsia" w:hAnsiTheme="majorHAnsi" w:cstheme="majorBidi"/>
      <w:color w:val="4F81BD"/>
      <w:sz w:val="20"/>
      <w:szCs w:val="20"/>
    </w:rPr>
  </w:style>
  <w:style w:type="character" w:styleId="Heading 8 Char">
    <w:name w:val="Heading 8 Char"/>
    <w:basedOn w:val="Default Paragraph Font"/>
    <w:link w:val="Heading 8"/>
    <w:rPr>
      <w:rFonts w:asciiTheme="majorHAnsi" w:eastAsiaTheme="majorEastAsia" w:hAnsiTheme="majorHAnsi" w:cstheme="majorBidi"/>
      <w:color w:val="4F81BD"/>
      <w:sz w:val="20"/>
      <w:szCs w:val="20"/>
    </w:rPr>
  </w:style>
  <w:style w:type="paragraph" w:styleId="Heading 9">
    <w:name w:val="Heading 9"/>
    <w:basedOn w:val="Normal"/>
    <w:next w:val="Normal"/>
    <w:link w:val="Heading 9 Char"/>
    <w:pPr>
      <w:keepNext/>
      <w:keepLines/>
      <w:outlineLvl w:val="8"/>
      <w:spacing w:before="200" w:after="0"/>
    </w:pPr>
    <w:rPr>
      <w:rFonts w:asciiTheme="majorHAnsi" w:eastAsiaTheme="majorEastAsia" w:hAnsiTheme="majorHAnsi" w:cstheme="majorBidi"/>
      <w:i/>
      <w:iCs/>
      <w:color w:val="404040"/>
      <w:sz w:val="20"/>
      <w:szCs w:val="20"/>
    </w:rPr>
  </w:style>
  <w:style w:type="character" w:styleId="Heading 9 Char">
    <w:name w:val="Heading 9 Char"/>
    <w:basedOn w:val="Default Paragraph Font"/>
    <w:link w:val="Heading 9"/>
    <w:rPr>
      <w:rFonts w:asciiTheme="majorHAnsi" w:eastAsiaTheme="majorEastAsia" w:hAnsiTheme="majorHAnsi" w:cstheme="majorBidi"/>
      <w:i/>
      <w:iCs/>
      <w:color w:val="404040"/>
      <w:sz w:val="20"/>
      <w:szCs w:val="20"/>
    </w:rPr>
  </w:style>
  <w:style w:type="table" w:styleId="Normal Table">
    <w:name w:val="Normal Table"/>
    <w:next w:val="Normal Table"/>
  </w:style>
  <w:style w:type="paragraph" w:styleId="No Spacing">
    <w:name w:val="No Spacing"/>
    <w:next w:val="No Spacing"/>
    <w:pPr>
      <w:spacing w:after="0" w:line="240" w:lineRule="auto"/>
    </w:pPr>
  </w:style>
  <w:style w:type="paragraph" w:styleId="Title">
    <w:name w:val="Title"/>
    <w:basedOn w:val="Normal"/>
    <w:next w:val="Normal"/>
    <w:link w:val="Title Char"/>
    <w:pPr>
      <w:pBdr>
        <w:bottom w:val="single" w:color="4F81BD" w:sz="8" w:space="4"/>
      </w:pBdr>
      <w:spacing w:after="300" w:line="240" w:lineRule="auto"/>
      <w:contextualSpacing/>
    </w:pPr>
    <w:rPr>
      <w:rFonts w:ascii="Aptos Display" w:eastAsiaTheme="majorEastAsia" w:hAnsi="Aptos Display" w:cstheme="majorBidi"/>
      <w:b/>
      <w:color w:val="7C3F66"/>
      <w:sz w:val="56"/>
      <w:spacing w:val="5"/>
      <w:szCs w:val="52"/>
    </w:rPr>
  </w:style>
  <w:style w:type="character" w:styleId="Title Char">
    <w:name w:val="Title Char"/>
    <w:basedOn w:val="Default Paragraph Font"/>
    <w:link w:val="Title"/>
    <w:rPr>
      <w:rFonts w:asciiTheme="majorHAnsi" w:eastAsiaTheme="majorEastAsia" w:hAnsiTheme="majorHAnsi" w:cstheme="majorBidi"/>
      <w:color w:val="17365D"/>
      <w:sz w:val="52"/>
      <w:spacing w:val="5"/>
      <w:szCs w:val="52"/>
    </w:rPr>
  </w:style>
  <w:style w:type="paragraph" w:styleId="Subtitle">
    <w:name w:val="Subtitle"/>
    <w:basedOn w:val="Normal"/>
    <w:next w:val="Normal"/>
    <w:link w:val="Subtitle Char"/>
    <w:pPr>
      <w:numPr>
        <w:ilvl w:val="1"/>
      </w:numPr>
    </w:pPr>
    <w:rPr>
      <w:rFonts w:asciiTheme="majorHAnsi" w:eastAsiaTheme="majorEastAsia" w:hAnsiTheme="majorHAnsi" w:cstheme="majorBidi"/>
      <w:i/>
      <w:iCs/>
      <w:color w:val="4F81BD"/>
      <w:sz w:val="24"/>
      <w:spacing w:val="15"/>
      <w:szCs w:val="24"/>
    </w:rPr>
  </w:style>
  <w:style w:type="character" w:styleId="Subtitle Char">
    <w:name w:val="Subtitle Char"/>
    <w:basedOn w:val="Default Paragraph Font"/>
    <w:link w:val="Subtitle"/>
    <w:rPr>
      <w:rFonts w:asciiTheme="majorHAnsi" w:eastAsiaTheme="majorEastAsia" w:hAnsiTheme="majorHAnsi" w:cstheme="majorBidi"/>
      <w:i/>
      <w:iCs/>
      <w:color w:val="4F81BD"/>
      <w:sz w:val="24"/>
      <w:spacing w:val="15"/>
      <w:szCs w:val="24"/>
    </w:rPr>
  </w:style>
  <w:style w:type="paragraph" w:styleId="List Paragraph">
    <w:name w:val="List Paragraph"/>
    <w:basedOn w:val="Normal"/>
    <w:next w:val="List Paragraph"/>
    <w:pPr>
      <w:contextualSpacing/>
      <w:ind w:left="720"/>
    </w:pPr>
  </w:style>
  <w:style w:type="paragraph" w:styleId="Body Text">
    <w:name w:val="Body Text"/>
    <w:basedOn w:val="Normal"/>
    <w:next w:val="Body Text"/>
    <w:link w:val="Body Text Char"/>
    <w:pPr>
      <w:spacing w:after="120"/>
    </w:pPr>
  </w:style>
  <w:style w:type="character" w:styleId="Body Text Char">
    <w:name w:val="Body Text Char"/>
    <w:basedOn w:val="Default Paragraph Font"/>
    <w:link w:val="Body Text"/>
  </w:style>
  <w:style w:type="paragraph" w:styleId="Body Text 2">
    <w:name w:val="Body Text 2"/>
    <w:basedOn w:val="Normal"/>
    <w:next w:val="Body Text 2"/>
    <w:link w:val="Body Text 2 Char"/>
    <w:pPr>
      <w:spacing w:after="120" w:line="480" w:lineRule="auto"/>
    </w:pPr>
  </w:style>
  <w:style w:type="character" w:styleId="Body Text 2 Char">
    <w:name w:val="Body Text 2 Char"/>
    <w:basedOn w:val="Default Paragraph Font"/>
    <w:link w:val="Body Text 2"/>
  </w:style>
  <w:style w:type="paragraph" w:styleId="Body Text 3">
    <w:name w:val="Body Text 3"/>
    <w:basedOn w:val="Normal"/>
    <w:next w:val="Body Text 3"/>
    <w:link w:val="Body Text 3 Char"/>
    <w:pPr>
      <w:spacing w:after="120"/>
    </w:pPr>
    <w:rPr>
      <w:sz w:val="16"/>
      <w:szCs w:val="16"/>
    </w:rPr>
  </w:style>
  <w:style w:type="character" w:styleId="Body Text 3 Char">
    <w:name w:val="Body Text 3 Char"/>
    <w:basedOn w:val="Default Paragraph Font"/>
    <w:link w:val="Body Text 3"/>
    <w:rPr>
      <w:sz w:val="16"/>
      <w:szCs w:val="16"/>
    </w:rPr>
  </w:style>
  <w:style w:type="paragraph" w:styleId="List">
    <w:name w:val="List"/>
    <w:basedOn w:val="Normal"/>
    <w:next w:val="List"/>
    <w:pPr>
      <w:contextualSpacing/>
      <w:ind w:left="360" w:hanging="360"/>
    </w:pPr>
  </w:style>
  <w:style w:type="paragraph" w:styleId="List 2">
    <w:name w:val="List 2"/>
    <w:basedOn w:val="Normal"/>
    <w:next w:val="List 2"/>
    <w:pPr>
      <w:contextualSpacing/>
      <w:ind w:left="720" w:hanging="360"/>
    </w:pPr>
  </w:style>
  <w:style w:type="paragraph" w:styleId="List 3">
    <w:name w:val="List 3"/>
    <w:basedOn w:val="Normal"/>
    <w:next w:val="List 3"/>
    <w:pPr>
      <w:contextualSpacing/>
      <w:ind w:left="1080" w:hanging="360"/>
    </w:pPr>
  </w:style>
  <w:style w:type="paragraph" w:styleId="List Bullet">
    <w:name w:val="List Bullet"/>
    <w:basedOn w:val="Normal"/>
    <w:next w:val="List Bullet"/>
    <w:pPr>
      <w:numPr>
        <w:numId w:val="9"/>
      </w:numPr>
      <w:contextualSpacing/>
    </w:pPr>
  </w:style>
  <w:style w:type="paragraph" w:styleId="List Bullet 2">
    <w:name w:val="List Bullet 2"/>
    <w:basedOn w:val="Normal"/>
    <w:next w:val="List Bullet 2"/>
    <w:pPr>
      <w:numPr>
        <w:numId w:val="7"/>
      </w:numPr>
      <w:contextualSpacing/>
    </w:pPr>
  </w:style>
  <w:style w:type="paragraph" w:styleId="List Bullet 3">
    <w:name w:val="List Bullet 3"/>
    <w:basedOn w:val="Normal"/>
    <w:next w:val="List Bullet 3"/>
    <w:pPr>
      <w:numPr>
        <w:numId w:val="6"/>
      </w:numPr>
      <w:contextualSpacing/>
    </w:pPr>
  </w:style>
  <w:style w:type="paragraph" w:styleId="List Number">
    <w:name w:val="List Number"/>
    <w:basedOn w:val="Normal"/>
    <w:next w:val="List Number"/>
    <w:pPr>
      <w:numPr>
        <w:numId w:val="8"/>
      </w:numPr>
      <w:contextualSpacing/>
    </w:pPr>
  </w:style>
  <w:style w:type="paragraph" w:styleId="List Number 2">
    <w:name w:val="List Number 2"/>
    <w:basedOn w:val="Normal"/>
    <w:next w:val="List Number 2"/>
    <w:pPr>
      <w:numPr>
        <w:numId w:val="4"/>
      </w:numPr>
      <w:contextualSpacing/>
    </w:pPr>
  </w:style>
  <w:style w:type="paragraph" w:styleId="List Number 3">
    <w:name w:val="List Number 3"/>
    <w:basedOn w:val="Normal"/>
    <w:next w:val="List Number 3"/>
    <w:pPr>
      <w:numPr>
        <w:numId w:val="3"/>
      </w:numPr>
      <w:contextualSpacing/>
    </w:pPr>
  </w:style>
  <w:style w:type="paragraph" w:styleId="List Continue">
    <w:name w:val="List Continue"/>
    <w:basedOn w:val="Normal"/>
    <w:next w:val="List Continue"/>
    <w:pPr>
      <w:spacing w:after="120"/>
      <w:contextualSpacing/>
      <w:ind w:left="360"/>
    </w:pPr>
  </w:style>
  <w:style w:type="paragraph" w:styleId="List Continue 2">
    <w:name w:val="List Continue 2"/>
    <w:basedOn w:val="Normal"/>
    <w:next w:val="List Continue 2"/>
    <w:pPr>
      <w:spacing w:after="120"/>
      <w:contextualSpacing/>
      <w:ind w:left="720"/>
    </w:pPr>
  </w:style>
  <w:style w:type="paragraph" w:styleId="List Continue 3">
    <w:name w:val="List Continue 3"/>
    <w:basedOn w:val="Normal"/>
    <w:next w:val="List Continue 3"/>
    <w:pPr>
      <w:spacing w:after="120"/>
      <w:contextualSpacing/>
      <w:ind w:left="1080"/>
    </w:pPr>
  </w:style>
  <w:style w:type="paragraph" w:styleId="Macro Text">
    <w:name w:val="Macro Text"/>
    <w:next w:val="Macro Text"/>
    <w:link w:val="Macro Text Char"/>
    <w:pPr>
      <w:tabs>
        <w:tab w:val="left" w:pos="575.9999847412109"/>
        <w:tab w:val="left" w:pos="1151.9999694824219"/>
        <w:tab w:val="left" w:pos="1728.0000305175781"/>
        <w:tab w:val="left" w:pos="2303.9999389648438"/>
        <w:tab w:val="left" w:pos="2880"/>
        <w:tab w:val="left" w:pos="3456.0000610351562"/>
        <w:tab w:val="left" w:pos="4032.0001220703125"/>
      </w:tabs>
    </w:pPr>
    <w:rPr>
      <w:rFonts w:ascii="Courier" w:hAnsi="Courier"/>
      <w:sz w:val="20"/>
      <w:szCs w:val="20"/>
    </w:rPr>
  </w:style>
  <w:style w:type="character" w:styleId="Macro Text Char">
    <w:name w:val="Macro Text Char"/>
    <w:basedOn w:val="Default Paragraph Font"/>
    <w:link w:val="Macro Text"/>
    <w:rPr>
      <w:rFonts w:ascii="Courier" w:hAnsi="Courier"/>
      <w:sz w:val="20"/>
      <w:szCs w:val="20"/>
    </w:rPr>
  </w:style>
  <w:style w:type="paragraph" w:styleId="Quote">
    <w:name w:val="Quote"/>
    <w:basedOn w:val="Normal"/>
    <w:next w:val="Normal"/>
    <w:link w:val="Quote Char"/>
    <w:pPr/>
    <w:rPr>
      <w:i/>
      <w:iCs/>
      <w:color w:val="000000"/>
    </w:rPr>
  </w:style>
  <w:style w:type="character" w:styleId="Quote Char">
    <w:name w:val="Quote Char"/>
    <w:basedOn w:val="Default Paragraph Font"/>
    <w:link w:val="Quote"/>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 Paragraph Font"/>
    <w:rPr>
      <w:b/>
      <w:bCs/>
    </w:rPr>
  </w:style>
  <w:style w:type="character" w:styleId="Emphasis">
    <w:name w:val="Emphasis"/>
    <w:basedOn w:val="Default Paragraph Font"/>
    <w:rPr>
      <w:i/>
      <w:iCs/>
    </w:rPr>
  </w:style>
  <w:style w:type="paragraph" w:styleId="Intense Quote">
    <w:name w:val="Intense Quote"/>
    <w:basedOn w:val="Normal"/>
    <w:next w:val="Normal"/>
    <w:link w:val="Intense Quote Char"/>
    <w:pPr>
      <w:pBdr>
        <w:bottom w:val="single" w:color="4F81BD" w:sz="4" w:space="4"/>
      </w:pBdr>
      <w:spacing w:before="200" w:after="280"/>
      <w:ind w:left="936" w:right="936"/>
    </w:pPr>
    <w:rPr>
      <w:b/>
      <w:bCs/>
      <w:i/>
      <w:iCs/>
      <w:color w:val="4F81BD"/>
    </w:rPr>
  </w:style>
  <w:style w:type="character" w:styleId="Intense Quote Char">
    <w:name w:val="Intense Quote Char"/>
    <w:basedOn w:val="Default Paragraph Font"/>
    <w:link w:val="Intense Quote"/>
    <w:rPr>
      <w:b/>
      <w:bCs/>
      <w:i/>
      <w:iCs/>
      <w:color w:val="4F81BD"/>
    </w:rPr>
  </w:style>
  <w:style w:type="character" w:styleId="Subtle Emphasis">
    <w:name w:val="Subtle Emphasis"/>
    <w:basedOn w:val="Default Paragraph Font"/>
    <w:rPr>
      <w:i/>
      <w:iCs/>
      <w:color w:val="808080"/>
    </w:rPr>
  </w:style>
  <w:style w:type="character" w:styleId="Intense Emphasis">
    <w:name w:val="Intense Emphasis"/>
    <w:basedOn w:val="Default Paragraph Font"/>
    <w:rPr>
      <w:b/>
      <w:bCs/>
      <w:i/>
      <w:iCs/>
      <w:color w:val="4F81BD"/>
    </w:rPr>
  </w:style>
  <w:style w:type="character" w:styleId="Subtle Reference">
    <w:name w:val="Subtle Reference"/>
    <w:basedOn w:val="Default Paragraph Font"/>
    <w:rPr>
      <w:color w:val="C0504D"/>
      <w:u w:val="single"/>
    </w:rPr>
  </w:style>
  <w:style w:type="character" w:styleId="Intense Reference">
    <w:name w:val="Intense Reference"/>
    <w:basedOn w:val="Default Paragraph Font"/>
    <w:rPr>
      <w:b/>
      <w:bCs/>
      <w:color w:val="C0504D"/>
      <w:spacing w:val="5"/>
      <w:u w:val="single"/>
    </w:rPr>
  </w:style>
  <w:style w:type="character" w:styleId="Book Title">
    <w:name w:val="Book Title"/>
    <w:basedOn w:val="Default Paragraph Font"/>
    <w:rPr>
      <w:b/>
      <w:bCs/>
      <w:spacing w:val="5"/>
    </w:rPr>
  </w:style>
  <w:style w:type="paragraph" w:styleId="TOC Heading">
    <w:name w:val="TOC Heading"/>
    <w:basedOn w:val="Heading 1"/>
    <w:next w:val="Normal"/>
    <w:pPr>
      <w:outlineLvl w:val="9"/>
    </w:pPr>
  </w:style>
  <w:style w:type="table" w:styleId="Table Grid">
    <w:name w:val="Table Grid"/>
    <w:basedOn w:val="Normal Table"/>
    <w:next w:val="Table Grid"/>
  </w:style>
  <w:style w:type="table" w:styleId=" Light Shading">
    <w:name w:val=" Light Shading"/>
    <w:basedOn w:val="Normal Table"/>
    <w:next w:val=" Light Shading"/>
  </w:style>
  <w:style w:type="table" w:styleId="Light Shading Accent 1">
    <w:name w:val="Light Shading Accent 1"/>
    <w:basedOn w:val="Normal Table"/>
    <w:next w:val="Light Shading Accent 1"/>
  </w:style>
  <w:style w:type="table" w:styleId="Light Shading Accent 2">
    <w:name w:val="Light Shading Accent 2"/>
    <w:basedOn w:val="Normal Table"/>
    <w:next w:val="Light Shading Accent 2"/>
  </w:style>
  <w:style w:type="table" w:styleId="Light Shading Accent 3">
    <w:name w:val="Light Shading Accent 3"/>
    <w:basedOn w:val="Normal Table"/>
    <w:next w:val="Light Shading Accent 3"/>
  </w:style>
  <w:style w:type="table" w:styleId="Light Shading Accent 4">
    <w:name w:val="Light Shading Accent 4"/>
    <w:basedOn w:val="Normal Table"/>
    <w:next w:val="Light Shading Accent 4"/>
  </w:style>
  <w:style w:type="table" w:styleId="Light Shading Accent 5">
    <w:name w:val="Light Shading Accent 5"/>
    <w:basedOn w:val="Normal Table"/>
    <w:next w:val="Light Shading Accent 5"/>
  </w:style>
  <w:style w:type="table" w:styleId="Light Shading Accent 6">
    <w:name w:val="Light Shading Accent 6"/>
    <w:basedOn w:val="Normal Table"/>
    <w:next w:val="Light Shading Accent 6"/>
  </w:style>
  <w:style w:type="table" w:styleId="Light List">
    <w:name w:val="Light List"/>
    <w:basedOn w:val="Normal Table"/>
    <w:next w:val="Light List"/>
  </w:style>
  <w:style w:type="table" w:styleId="Light List Accent 1">
    <w:name w:val="Light List Accent 1"/>
    <w:basedOn w:val="Normal Table"/>
    <w:next w:val="Light List Accent 1"/>
  </w:style>
  <w:style w:type="table" w:styleId="Light List Accent 2">
    <w:name w:val="Light List Accent 2"/>
    <w:basedOn w:val="Normal Table"/>
    <w:next w:val="Light List Accent 2"/>
  </w:style>
  <w:style w:type="table" w:styleId="Light List Accent 3">
    <w:name w:val="Light List Accent 3"/>
    <w:basedOn w:val="Normal Table"/>
    <w:next w:val="Light List Accent 3"/>
  </w:style>
  <w:style w:type="table" w:styleId="Light List Accent 4">
    <w:name w:val="Light List Accent 4"/>
    <w:basedOn w:val="Normal Table"/>
    <w:next w:val="Light List Accent 4"/>
  </w:style>
  <w:style w:type="table" w:styleId="Light List Accent 5">
    <w:name w:val="Light List Accent 5"/>
    <w:basedOn w:val="Normal Table"/>
    <w:next w:val="Light List Accent 5"/>
  </w:style>
  <w:style w:type="table" w:styleId="Light List Accent 6">
    <w:name w:val="Light List Accent 6"/>
    <w:basedOn w:val="Normal Table"/>
    <w:next w:val="Light List Accent 6"/>
  </w:style>
  <w:style w:type="table" w:styleId="Light Grid">
    <w:name w:val="Light Grid"/>
    <w:basedOn w:val="Normal Table"/>
    <w:next w:val="Light Grid"/>
  </w:style>
  <w:style w:type="table" w:styleId="Light Grid Accent 1">
    <w:name w:val="Light Grid Accent 1"/>
    <w:basedOn w:val="Normal Table"/>
    <w:next w:val="Light Grid Accent 1"/>
  </w:style>
  <w:style w:type="table" w:styleId="Light Grid Accent 2">
    <w:name w:val="Light Grid Accent 2"/>
    <w:basedOn w:val="Normal Table"/>
    <w:next w:val="Light Grid Accent 2"/>
  </w:style>
  <w:style w:type="table" w:styleId=" Light Grid Accent 3">
    <w:name w:val=" Light Grid Accent 3"/>
    <w:basedOn w:val="Normal Table"/>
    <w:next w:val=" Light Grid Accent 3"/>
  </w:style>
  <w:style w:type="table" w:styleId="Light Grid Accent 4">
    <w:name w:val="Light Grid Accent 4"/>
    <w:basedOn w:val="Normal Table"/>
    <w:next w:val="Light Grid Accent 4"/>
  </w:style>
  <w:style w:type="table" w:styleId="Light Grid Accent 5">
    <w:name w:val="Light Grid Accent 5"/>
    <w:basedOn w:val="Normal Table"/>
    <w:next w:val="Light Grid Accent 5"/>
  </w:style>
  <w:style w:type="table" w:styleId="Light Grid Accent 6">
    <w:name w:val="Light Grid Accent 6"/>
    <w:basedOn w:val="Normal Table"/>
    <w:next w:val="Light Grid Accent 6"/>
  </w:style>
  <w:style w:type="table" w:styleId="Medium Shading 1">
    <w:name w:val="Medium Shading 1"/>
    <w:basedOn w:val="Normal Table"/>
    <w:next w:val="Medium Shading 1"/>
  </w:style>
  <w:style w:type="table" w:styleId="Medium Shading 1 Accent 1">
    <w:name w:val="Medium Shading 1 Accent 1"/>
    <w:basedOn w:val="Normal Table"/>
    <w:next w:val="Medium Shading 1 Accent 1"/>
  </w:style>
  <w:style w:type="table" w:styleId="Medium Shading 1 Accent 2">
    <w:name w:val="Medium Shading 1 Accent 2"/>
    <w:basedOn w:val="Normal Table"/>
    <w:next w:val="Medium Shading 1 Accent 2"/>
  </w:style>
  <w:style w:type="table" w:styleId="Medium Shading 1 Accent 3">
    <w:name w:val="Medium Shading 1 Accent 3"/>
    <w:basedOn w:val="Normal Table"/>
    <w:next w:val="Medium Shading 1 Accent 3"/>
  </w:style>
  <w:style w:type="table" w:styleId="Medium Shading 1 Accent 4">
    <w:name w:val="Medium Shading 1 Accent 4"/>
    <w:basedOn w:val="Normal Table"/>
    <w:next w:val="Medium Shading 1 Accent 4"/>
  </w:style>
  <w:style w:type="table" w:styleId="Medium Shading 1 Accent 5">
    <w:name w:val="Medium Shading 1 Accent 5"/>
    <w:basedOn w:val="Normal Table"/>
    <w:next w:val="Medium Shading 1 Accent 5"/>
  </w:style>
  <w:style w:type="table" w:styleId="Medium Shading 1 Accent 6">
    <w:name w:val="Medium Shading 1 Accent 6"/>
    <w:basedOn w:val="Normal Table"/>
    <w:next w:val="Medium Shading 1 Accent 6"/>
  </w:style>
  <w:style w:type="table" w:styleId="Medium Shading 2">
    <w:name w:val="Medium Shading 2"/>
    <w:basedOn w:val="Normal Table"/>
    <w:next w:val="Medium Shading 2"/>
  </w:style>
  <w:style w:type="table" w:styleId="Medium Shading 2 Accent 1">
    <w:name w:val="Medium Shading 2 Accent 1"/>
    <w:basedOn w:val="Normal Table"/>
    <w:next w:val="Medium Shading 2 Accent 1"/>
  </w:style>
  <w:style w:type="table" w:styleId="Medium Shading 2 Accent 2">
    <w:name w:val="Medium Shading 2 Accent 2"/>
    <w:basedOn w:val="Normal Table"/>
    <w:next w:val="Medium Shading 2 Accent 2"/>
  </w:style>
  <w:style w:type="table" w:styleId="Medium Shading 2 Accent 3">
    <w:name w:val="Medium Shading 2 Accent 3"/>
    <w:basedOn w:val="Normal Table"/>
    <w:next w:val="Medium Shading 2 Accent 3"/>
  </w:style>
  <w:style w:type="table" w:styleId="Medium Shading 2 Accent 4">
    <w:name w:val="Medium Shading 2 Accent 4"/>
    <w:basedOn w:val="Normal Table"/>
    <w:next w:val="Medium Shading 2 Accent 4"/>
  </w:style>
  <w:style w:type="table" w:styleId="Medium Shading 2 Accent 5">
    <w:name w:val="Medium Shading 2 Accent 5"/>
    <w:basedOn w:val="Normal Table"/>
    <w:next w:val="Medium Shading 2 Accent 5"/>
  </w:style>
  <w:style w:type="table" w:styleId="Medium Shading 2 Accent 6">
    <w:name w:val="Medium Shading 2 Accent 6"/>
    <w:basedOn w:val="Normal Table"/>
    <w:next w:val="Medium Shading 2 Accent 6"/>
  </w:style>
  <w:style w:type="table" w:styleId="Medium List 1">
    <w:name w:val="Medium List 1"/>
    <w:basedOn w:val="Normal Table"/>
    <w:next w:val="Medium List 1"/>
  </w:style>
  <w:style w:type="table" w:styleId="Medium List 1 Accent 1">
    <w:name w:val="Medium List 1 Accent 1"/>
    <w:basedOn w:val="Normal Table"/>
    <w:next w:val="Medium List 1 Accent 1"/>
  </w:style>
  <w:style w:type="table" w:styleId="Medium List 1 Accent 2">
    <w:name w:val="Medium List 1 Accent 2"/>
    <w:basedOn w:val="Normal Table"/>
    <w:next w:val="Medium List 1 Accent 2"/>
  </w:style>
  <w:style w:type="table" w:styleId="Medium List 1 Accent 3">
    <w:name w:val="Medium List 1 Accent 3"/>
    <w:basedOn w:val="Normal Table"/>
    <w:next w:val="Medium List 1 Accent 3"/>
  </w:style>
  <w:style w:type="table" w:styleId="Medium List 1 Accent 4">
    <w:name w:val="Medium List 1 Accent 4"/>
    <w:basedOn w:val="Normal Table"/>
    <w:next w:val="Medium List 1 Accent 4"/>
  </w:style>
  <w:style w:type="table" w:styleId="Medium List 1 Accent 5">
    <w:name w:val="Medium List 1 Accent 5"/>
    <w:basedOn w:val="Normal Table"/>
    <w:next w:val="Medium List 1 Accent 5"/>
  </w:style>
  <w:style w:type="table" w:styleId="Medium List 1 Accent 6">
    <w:name w:val="Medium List 1 Accent 6"/>
    <w:basedOn w:val="Normal Table"/>
    <w:next w:val="Medium List 1 Accent 6"/>
  </w:style>
  <w:style w:type="table" w:styleId="Medium List 2">
    <w:name w:val="Medium List 2"/>
    <w:basedOn w:val="Normal Table"/>
    <w:next w:val="Medium List 2"/>
  </w:style>
  <w:style w:type="table" w:styleId="Medium List 2 Accent 1">
    <w:name w:val="Medium List 2 Accent 1"/>
    <w:basedOn w:val="Normal Table"/>
    <w:next w:val="Medium List 2 Accent 1"/>
  </w:style>
  <w:style w:type="table" w:styleId="Medium List 2 Accent 2">
    <w:name w:val="Medium List 2 Accent 2"/>
    <w:basedOn w:val="Normal Table"/>
    <w:next w:val="Medium List 2 Accent 2"/>
  </w:style>
  <w:style w:type="table" w:styleId="Medium List 2 Accent 3">
    <w:name w:val="Medium List 2 Accent 3"/>
    <w:basedOn w:val="Normal Table"/>
    <w:next w:val="Medium List 2 Accent 3"/>
  </w:style>
  <w:style w:type="table" w:styleId="Medium List 2 Accent 4">
    <w:name w:val="Medium List 2 Accent 4"/>
    <w:basedOn w:val="Normal Table"/>
    <w:next w:val="Medium List 2 Accent 4"/>
  </w:style>
  <w:style w:type="table" w:styleId="Medium List 2 Accent 5">
    <w:name w:val="Medium List 2 Accent 5"/>
    <w:basedOn w:val="Normal Table"/>
    <w:next w:val="Medium List 2 Accent 5"/>
  </w:style>
  <w:style w:type="table" w:styleId="Medium List 2 Accent 6">
    <w:name w:val="Medium List 2 Accent 6"/>
    <w:basedOn w:val="Normal Table"/>
    <w:next w:val="Medium List 2 Accent 6"/>
  </w:style>
  <w:style w:type="table" w:styleId="Medium Grid 1">
    <w:name w:val="Medium Grid 1"/>
    <w:basedOn w:val="Normal Table"/>
    <w:next w:val="Medium Grid 1"/>
  </w:style>
  <w:style w:type="table" w:styleId="Medium Grid 1 Accent 1">
    <w:name w:val="Medium Grid 1 Accent 1"/>
    <w:basedOn w:val="Normal Table"/>
    <w:next w:val="Medium Grid 1 Accent 1"/>
  </w:style>
  <w:style w:type="table" w:styleId="Medium Grid 1 Accent 2">
    <w:name w:val="Medium Grid 1 Accent 2"/>
    <w:basedOn w:val="Normal Table"/>
    <w:next w:val="Medium Grid 1 Accent 2"/>
  </w:style>
  <w:style w:type="table" w:styleId="Medium Grid 1 Accent 3">
    <w:name w:val="Medium Grid 1 Accent 3"/>
    <w:basedOn w:val="Normal Table"/>
    <w:next w:val="Medium Grid 1 Accent 3"/>
  </w:style>
  <w:style w:type="table" w:styleId="Medium Grid 1 Accent 4">
    <w:name w:val="Medium Grid 1 Accent 4"/>
    <w:basedOn w:val="Normal Table"/>
    <w:next w:val="Medium Grid 1 Accent 4"/>
  </w:style>
  <w:style w:type="table" w:styleId="Medium Grid 1 Accent 5">
    <w:name w:val="Medium Grid 1 Accent 5"/>
    <w:basedOn w:val="Normal Table"/>
    <w:next w:val="Medium Grid 1 Accent 5"/>
  </w:style>
  <w:style w:type="table" w:styleId="Medium Grid 1 Accent 6">
    <w:name w:val="Medium Grid 1 Accent 6"/>
    <w:basedOn w:val="Normal Table"/>
    <w:next w:val="Medium Grid 1 Accent 6"/>
  </w:style>
  <w:style w:type="table" w:styleId="Medium Grid 2">
    <w:name w:val="Medium Grid 2"/>
    <w:basedOn w:val="Normal Table"/>
    <w:next w:val="Medium Grid 2"/>
  </w:style>
  <w:style w:type="table" w:styleId="Medium Grid 2 Accent 1">
    <w:name w:val="Medium Grid 2 Accent 1"/>
    <w:basedOn w:val="Normal Table"/>
    <w:next w:val="Medium Grid 2 Accent 1"/>
  </w:style>
  <w:style w:type="table" w:styleId="Medium Grid 2 Accent 2">
    <w:name w:val="Medium Grid 2 Accent 2"/>
    <w:basedOn w:val="Normal Table"/>
    <w:next w:val="Medium Grid 2 Accent 2"/>
  </w:style>
  <w:style w:type="table" w:styleId="Medium Grid 2 Accent 3">
    <w:name w:val="Medium Grid 2 Accent 3"/>
    <w:basedOn w:val="Normal Table"/>
    <w:next w:val="Medium Grid 2 Accent 3"/>
  </w:style>
  <w:style w:type="table" w:styleId="Medium Grid 2 Accent 4">
    <w:name w:val="Medium Grid 2 Accent 4"/>
    <w:basedOn w:val="Normal Table"/>
    <w:next w:val="Medium Grid 2 Accent 4"/>
  </w:style>
  <w:style w:type="table" w:styleId="Medium Grid 2 Accent 5">
    <w:name w:val="Medium Grid 2 Accent 5"/>
    <w:basedOn w:val="Normal Table"/>
    <w:next w:val="Medium Grid 2 Accent 5"/>
  </w:style>
  <w:style w:type="table" w:styleId="Medium Grid 2 Accent 6">
    <w:name w:val="Medium Grid 2 Accent 6"/>
    <w:basedOn w:val="Normal Table"/>
    <w:next w:val="Medium Grid 2 Accent 6"/>
  </w:style>
  <w:style w:type="table" w:styleId="Medium Grid 3">
    <w:name w:val="Medium Grid 3"/>
    <w:basedOn w:val="Normal Table"/>
    <w:next w:val="Medium Grid 3"/>
  </w:style>
  <w:style w:type="table" w:styleId="Medium Grid 3 Accent 1">
    <w:name w:val="Medium Grid 3 Accent 1"/>
    <w:basedOn w:val="Normal Table"/>
    <w:next w:val="Medium Grid 3 Accent 1"/>
  </w:style>
  <w:style w:type="table" w:styleId="Medium Grid 3 Accent 2">
    <w:name w:val="Medium Grid 3 Accent 2"/>
    <w:basedOn w:val="Normal Table"/>
    <w:next w:val="Medium Grid 3 Accent 2"/>
  </w:style>
  <w:style w:type="table" w:styleId="Medium Grid 3 Accent 3">
    <w:name w:val="Medium Grid 3 Accent 3"/>
    <w:basedOn w:val="Normal Table"/>
    <w:next w:val="Medium Grid 3 Accent 3"/>
  </w:style>
  <w:style w:type="table" w:styleId="Medium Grid 3 Accent 4">
    <w:name w:val="Medium Grid 3 Accent 4"/>
    <w:basedOn w:val="Normal Table"/>
    <w:next w:val="Medium Grid 3 Accent 4"/>
  </w:style>
  <w:style w:type="table" w:styleId="Medium Grid 3 Accent5">
    <w:name w:val="Medium Grid 3 Accent5"/>
    <w:basedOn w:val="Normal Table"/>
    <w:next w:val="Medium Grid 3 Accent5"/>
  </w:style>
  <w:style w:type="table" w:styleId="Medium Grid 3 Accent 6">
    <w:name w:val="Medium Grid 3 Accent 6"/>
    <w:basedOn w:val="Normal Table"/>
    <w:next w:val="Medium Grid 3 Accent 6"/>
  </w:style>
  <w:style w:type="table" w:styleId="Dark List">
    <w:name w:val="Dark List"/>
    <w:basedOn w:val="Normal Table"/>
    <w:next w:val="Dark List"/>
  </w:style>
  <w:style w:type="table" w:styleId="Dark List Accent 1">
    <w:name w:val="Dark List Accent 1"/>
    <w:basedOn w:val="Normal Table"/>
    <w:next w:val="Dark List Accent 1"/>
  </w:style>
  <w:style w:type="table" w:styleId="Dark List Accent 2">
    <w:name w:val="Dark List Accent 2"/>
    <w:basedOn w:val="Normal Table"/>
    <w:next w:val="Dark List Accent 2"/>
  </w:style>
  <w:style w:type="table" w:styleId="Dark List Accent 3">
    <w:name w:val="Dark List Accent 3"/>
    <w:basedOn w:val="Normal Table"/>
    <w:next w:val="Dark List Accent 3"/>
  </w:style>
  <w:style w:type="table" w:styleId="Dark List Accent 4">
    <w:name w:val="Dark List Accent 4"/>
    <w:basedOn w:val="Normal Table"/>
    <w:next w:val="Dark List Accent 4"/>
  </w:style>
  <w:style w:type="table" w:styleId="Dark List Accent 5">
    <w:name w:val="Dark List Accent 5"/>
    <w:basedOn w:val="Normal Table"/>
    <w:next w:val="Dark List Accent 5"/>
  </w:style>
  <w:style w:type="table" w:styleId="Dark List Accent 6">
    <w:name w:val="Dark List Accent 6"/>
    <w:basedOn w:val="Normal Table"/>
    <w:next w:val="Dark List Accent 6"/>
  </w:style>
  <w:style w:type="table" w:styleId="Colorful Shading">
    <w:name w:val="Colorful Shading"/>
    <w:basedOn w:val="Normal Table"/>
    <w:next w:val="Colorful Shading"/>
  </w:style>
  <w:style w:type="table" w:styleId="Colorful Shading Accent 1">
    <w:name w:val="Colorful Shading Accent 1"/>
    <w:basedOn w:val="Normal Table"/>
    <w:next w:val="Colorful Shading Accent 1"/>
  </w:style>
  <w:style w:type="table" w:styleId="Colorful Shading Accent 2">
    <w:name w:val="Colorful Shading Accent 2"/>
    <w:basedOn w:val="Normal Table"/>
    <w:next w:val="Colorful Shading Accent 2"/>
  </w:style>
  <w:style w:type="table" w:styleId="Colorful Shading Accent 3">
    <w:name w:val="Colorful Shading Accent 3"/>
    <w:basedOn w:val="Normal Table"/>
    <w:next w:val="Colorful Shading Accent 3"/>
  </w:style>
  <w:style w:type="table" w:styleId="Colorful Shading Accent 4">
    <w:name w:val="Colorful Shading Accent 4"/>
    <w:basedOn w:val="Normal Table"/>
    <w:next w:val="Colorful Shading Accent 4"/>
  </w:style>
  <w:style w:type="table" w:styleId="Colorful Shading Accent 5">
    <w:name w:val="Colorful Shading Accent 5"/>
    <w:basedOn w:val="Normal Table"/>
    <w:next w:val="Colorful Shading Accent 5"/>
  </w:style>
  <w:style w:type="table" w:styleId="Colorful Shading Accent 6">
    <w:name w:val="Colorful Shading Accent 6"/>
    <w:basedOn w:val="Normal Table"/>
    <w:next w:val="Colorful Shading Accent 6"/>
  </w:style>
  <w:style w:type="table" w:styleId="Colorful List">
    <w:name w:val="Colorful List"/>
    <w:basedOn w:val="Normal Table"/>
    <w:next w:val="Colorful List"/>
  </w:style>
  <w:style w:type="table" w:styleId="Colorful List Accent 1">
    <w:name w:val="Colorful List Accent 1"/>
    <w:basedOn w:val="Normal Table"/>
    <w:next w:val="Colorful List Accent 1"/>
  </w:style>
  <w:style w:type="table" w:styleId="Colorful List Accent 2">
    <w:name w:val="Colorful List Accent 2"/>
    <w:basedOn w:val="Normal Table"/>
    <w:next w:val="Colorful List Accent 2"/>
  </w:style>
  <w:style w:type="table" w:styleId="Colorful List Accent 3">
    <w:name w:val="Colorful List Accent 3"/>
    <w:basedOn w:val="Normal Table"/>
    <w:next w:val="Colorful List Accent 3"/>
  </w:style>
  <w:style w:type="table" w:styleId="Colorful List Accent 4">
    <w:name w:val="Colorful List Accent 4"/>
    <w:basedOn w:val="Normal Table"/>
    <w:next w:val="Colorful List Accent 4"/>
  </w:style>
  <w:style w:type="table" w:styleId="Colorful List Accent 5">
    <w:name w:val="Colorful List Accent 5"/>
    <w:basedOn w:val="Normal Table"/>
    <w:next w:val="Colorful List Accent 5"/>
  </w:style>
  <w:style w:type="table" w:styleId="Colorful List Accent 6">
    <w:name w:val="Colorful List Accent 6"/>
    <w:basedOn w:val="Normal Table"/>
    <w:next w:val="Colorful List Accent 6"/>
  </w:style>
  <w:style w:type="table" w:styleId="Colorful Grid">
    <w:name w:val="Colorful Grid"/>
    <w:basedOn w:val="Normal Table"/>
    <w:next w:val="Colorful Grid"/>
  </w:style>
  <w:style w:type="table" w:styleId="Colorful Grid Accent 1">
    <w:name w:val="Colorful Grid Accent 1"/>
    <w:basedOn w:val="Normal Table"/>
    <w:next w:val="Colorful Grid Accent 1"/>
  </w:style>
  <w:style w:type="table" w:styleId="Colorful Grid Accent 2">
    <w:name w:val="Colorful Grid Accent 2"/>
    <w:basedOn w:val="Normal Table"/>
    <w:next w:val="Colorful Grid Accent 2"/>
  </w:style>
  <w:style w:type="table" w:styleId="Colorful Grid Accent 3">
    <w:name w:val="Colorful Grid Accent 3"/>
    <w:basedOn w:val="Normal Table"/>
    <w:next w:val="Colorful Grid Accent 3"/>
  </w:style>
  <w:style w:type="table" w:styleId="Colorful Grid Accent 4">
    <w:name w:val="Colorful Grid Accent 4"/>
    <w:basedOn w:val="Normal Table"/>
    <w:next w:val="Colorful Grid Accent 4"/>
  </w:style>
  <w:style w:type="table" w:styleId="Colorful Grid Accent 5">
    <w:name w:val="Colorful Grid Accent 5"/>
    <w:basedOn w:val="Normal Table"/>
    <w:next w:val="Colorful Grid Accent 5"/>
  </w:style>
  <w:style w:type="table" w:styleId="Colorful Grid Accent 6">
    <w:name w:val="Colorful Grid Accent 6"/>
    <w:basedOn w:val="Normal Table"/>
    <w:next w:val="Colorful Grid Accent 6"/>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theme" Target="theme/theme1.xml" /><Relationship Id="rId8"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