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11:43:28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2.6 testdata/customerOrder/Service/orderServiceREST.process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pPr>
        <w:jc w:val="center"/>
      </w:pPr>
      <w:r>
        <w:drawing>
          <wp:inline distT="0" distR="0" distB="0" distL="0">
            <wp:extent cx="2038350" cy="3286125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Adapter Subscribers</w:t>
      </w:r>
    </w:p>
    <w:p>
      <w:pPr>
        <w:pStyle w:val="Heading3"/>
      </w:pPr>
      <w:r>
        <w:rPr>
          <w:b w:val="on"/>
          <w:sz w:val="24"/>
        </w:rPr>
        <w:t>2.8.1 TestService/Others/orderServiceFILEADAPTERSUBSCRIBER.process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endpoint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1466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File Pollers</w:t>
      </w:r>
    </w:p>
    <w:p>
      <w:pPr>
        <w:pStyle w:val="Heading3"/>
      </w:pPr>
      <w:r>
        <w:rPr>
          <w:b w:val="on"/>
          <w:sz w:val="24"/>
        </w:rPr>
        <w:t>2.9.1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2.9.3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JMS Queue Receivers</w:t>
      </w:r>
    </w:p>
    <w:p>
      <w:pPr>
        <w:pStyle w:val="Heading3"/>
      </w:pPr>
      <w:r>
        <w:rPr>
          <w:b w:val="on"/>
          <w:sz w:val="24"/>
        </w:rPr>
        <w:t>2.10.1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JavaEventSources</w:t>
      </w:r>
    </w:p>
    <w:p>
      <w:pPr>
        <w:pStyle w:val="Heading3"/>
      </w:pPr>
      <w:r>
        <w:rPr>
          <w:b w:val="on"/>
          <w:sz w:val="24"/>
        </w:rPr>
        <w:t>2.11.1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2.12 Timers</w:t>
      </w:r>
    </w:p>
    <w:p>
      <w:pPr>
        <w:pStyle w:val="Heading3"/>
      </w:pPr>
      <w:r>
        <w:rPr>
          <w:b w:val="on"/>
          <w:sz w:val="24"/>
        </w:rPr>
        <w:t>2.12.1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2.12.2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