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11:48:51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2.5.1 testdata/customerOrder/Service/orderServiceREST.process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BusinessProcess/aereqresüRAKS.process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BusinessProcess/aereqresüRAKS.process Integration</w:t>
      </w:r>
    </w:p>
    <w:p>
      <w:pPr>
        <w:jc w:val="center"/>
      </w:pPr>
      <w:r>
        <w:drawing>
          <wp:inline distT="0" distR="0" distB="0" distL="0">
            <wp:extent cx="2038350" cy="3286125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2.7 Adapter Subscribers</w:t>
      </w:r>
    </w:p>
    <w:p>
      <w:pPr>
        <w:pStyle w:val="Heading3"/>
      </w:pPr>
      <w:r>
        <w:rPr>
          <w:b w:val="on"/>
          <w:sz w:val="24"/>
        </w:rPr>
        <w:t>2.7.1 TestService/Others/orderServiceFILEADAPTERSUBSCRIBER.process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endpoint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1466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