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2025-12-24 13:47:51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C:\raks\apiguard\raksanalyzer\testdata\customerOrder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161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42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3248025" cy="2428875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1333500" cy="1285875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 Operation Integration</w:t>
      </w:r>
    </w:p>
    <w:p>
      <w:pPr>
        <w:jc w:val="center"/>
      </w:pPr>
      <w:r>
        <w:drawing>
          <wp:inline distT="0" distR="0" distB="0" distL="0">
            <wp:extent cx="5486400" cy="5771161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testdata/customerOrder/Service/orderServiceREST.process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2.5.2 Service/orderServiceREST.process Integration</w:t>
      </w:r>
    </w:p>
    <w:p>
      <w:pPr>
        <w:jc w:val="center"/>
      </w:pPr>
      <w:r>
        <w:drawing>
          <wp:inline distT="0" distR="0" distB="0" distL="0">
            <wp:extent cx="6350000" cy="5080000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domain.customerOrder-1.FileAdapter.FileAdapterConfiguration.PublicationService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6350000" cy="5080000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Adapter Services</w:t>
      </w:r>
    </w:p>
    <w:p>
      <w:pPr>
        <w:pStyle w:val="Heading3"/>
      </w:pPr>
      <w:r>
        <w:rPr>
          <w:b w:val="on"/>
          <w:sz w:val="24"/>
        </w:rPr>
        <w:t>2.7.1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BusinessProcess/aereqresüRAKS.process Integration</w:t>
      </w:r>
    </w:p>
    <w:p>
      <w:r>
        <w:rPr>
          <w:i w:val="on"/>
          <w:sz w:val="18"/>
        </w:rPr>
        <w:t>Note: Special characters in process name normalized for diagram rendering.</w:t>
      </w:r>
    </w:p>
    <w:p>
      <w:pPr>
        <w:jc w:val="center"/>
      </w:pPr>
      <w:r>
        <w:drawing>
          <wp:inline distT="0" distR="0" distB="0" distL="0">
            <wp:extent cx="6350000" cy="5080000"/>
            <wp:docPr id="5" name="Drawing 5" descr="BusinessProcess/aereqresüRAKS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rocess/aereqresüRAKS.process_integration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2.8 File Pollers</w:t>
      </w:r>
    </w:p>
    <w:p>
      <w:pPr>
        <w:pStyle w:val="Heading3"/>
      </w:pPr>
      <w:r>
        <w:rPr>
          <w:b w:val="on"/>
          <w:sz w:val="24"/>
        </w:rPr>
        <w:t>2.8.1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Service/orderServiceFILE.process Integration</w:t>
      </w:r>
    </w:p>
    <w:p>
      <w:pPr>
        <w:jc w:val="center"/>
      </w:pPr>
      <w:r>
        <w:drawing>
          <wp:inline distT="0" distR="0" distB="0" distL="0">
            <wp:extent cx="4172754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27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3724275" cy="5781675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JMS Queue Receivers</w:t>
      </w:r>
    </w:p>
    <w:p>
      <w:pPr>
        <w:pStyle w:val="Heading3"/>
      </w:pPr>
      <w:r>
        <w:rPr>
          <w:b w:val="on"/>
          <w:sz w:val="24"/>
        </w:rPr>
        <w:t>2.9.1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Service/orderServiceJMS.process Integration</w:t>
      </w:r>
    </w:p>
    <w:p>
      <w:pPr>
        <w:jc w:val="center"/>
      </w:pPr>
      <w:r>
        <w:drawing>
          <wp:inline distT="0" distR="0" distB="0" distL="0">
            <wp:extent cx="5486400" cy="8117207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1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JavaEventSources</w:t>
      </w:r>
    </w:p>
    <w:p>
      <w:pPr>
        <w:pStyle w:val="Heading3"/>
      </w:pPr>
      <w:r>
        <w:rPr>
          <w:b w:val="on"/>
          <w:sz w:val="24"/>
        </w:rPr>
        <w:t>2.10.1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BusinessProcess/connector.process Integration</w:t>
      </w:r>
    </w:p>
    <w:p>
      <w:pPr>
        <w:jc w:val="center"/>
      </w:pPr>
      <w:r>
        <w:drawing>
          <wp:inline distT="0" distR="0" distB="0" distL="0">
            <wp:extent cx="2305050" cy="3219450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Timers</w:t>
      </w:r>
    </w:p>
    <w:p>
      <w:pPr>
        <w:pStyle w:val="Heading3"/>
      </w:pPr>
      <w:r>
        <w:rPr>
          <w:b w:val="on"/>
          <w:sz w:val="24"/>
        </w:rPr>
        <w:t>2.11.1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6892290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9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14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domain.customerOrder-1.adfiles.%%InstanceId%%.userExit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domain.customerOrder-1.%%AppName%%.%%InstanceId%%.CM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./domain.customerOrder-1.%%AppName%%.%%InstanceId%%.ldg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domain.customerOrder-1.adfiles.%%InstanceId%%.exit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./customerOrder-1.%%InstanceId%%.log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COM.TIBCO.adfiles.customerOrder-1.%%InstanceId%%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COM.TIBCO.ADAPTER.adfiles.customerOrder-1.%%InstanceId%%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42</w:t>
      </w:r>
    </w:p>
    <w:p/>
    <w:p>
      <w:pPr>
        <w:pStyle w:val="Heading2"/>
      </w:pPr>
      <w:r>
        <w:rPr>
          <w:b w:val="on"/>
          <w:sz w:val="28"/>
        </w:rPr>
        <w:t>6.1 Connections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6.2 Connections/FILE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6.3 Connections/SCHEDULER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6.4 Flags (Count: 2)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6.5 JDBCConnection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6.6 LogLevels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6.7 defaultVars (Count: 17)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false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MyUniqueVar</w:t>
            </w:r>
          </w:p>
        </w:tc>
        <w:tc>
          <w:p>
            <w:r>
              <w:t>DefaultValue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6.8 httpConnection (Count: 3)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httpport</w:t>
            </w:r>
          </w:p>
        </w:tc>
        <w:tc>
          <w:p>
            <w:r>
              <w:t>9090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soapPath</w:t>
            </w:r>
          </w:p>
        </w:tc>
        <w:tc>
          <w:p>
            <w:r>
              <w:t>soapOrderServicePath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291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9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UniqueTest.substvar</w:t>
            </w:r>
          </w:p>
        </w:tc>
        <w:tc>
          <w:p>
            <w:r>
              <w:t>defaultVars/UniqueTest.substvar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4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