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77777777"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3112E5B4" w14:textId="53DE1E4F" w:rsidR="00C2383D"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w:t>
      </w:r>
      <w:r>
        <w:rPr>
          <w:rFonts w:asciiTheme="minorHAnsi" w:eastAsiaTheme="minorHAnsi" w:hAnsiTheme="minorHAnsi" w:cstheme="minorBidi"/>
          <w:kern w:val="2"/>
          <w:sz w:val="22"/>
          <w:szCs w:val="22"/>
          <w:lang w:eastAsia="en-US"/>
          <w14:ligatures w14:val="standardContextual"/>
        </w:rPr>
        <w:lastRenderedPageBreak/>
        <w:t>statistical analysis, machine learning model building and comparison, predicting using the best model.</w:t>
      </w:r>
    </w:p>
    <w:p w14:paraId="136A7274" w14:textId="6A648CDB" w:rsidR="00CE19BF" w:rsidRPr="00CE19BF" w:rsidRDefault="00813930" w:rsidP="00CE19B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Research Understanding:</w:t>
      </w:r>
    </w:p>
    <w:p w14:paraId="54985412" w14:textId="74E0E54F" w:rsidR="007C0BC7" w:rsidRDefault="007C0BC7" w:rsidP="00813930">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Before we get into the data collection and further analysis, the research topics are explained in detail. </w:t>
      </w:r>
      <w:r w:rsidR="00CE19BF">
        <w:rPr>
          <w:rFonts w:asciiTheme="minorHAnsi" w:eastAsiaTheme="minorHAnsi" w:hAnsiTheme="minorHAnsi" w:cstheme="minorBidi"/>
          <w:kern w:val="2"/>
          <w:sz w:val="22"/>
          <w:szCs w:val="22"/>
          <w:lang w:eastAsia="en-US"/>
          <w14:ligatures w14:val="standardContextual"/>
        </w:rPr>
        <w:t xml:space="preserve">The areas of Bowel Screening Colonoscopy, features impacting </w:t>
      </w:r>
      <w:r>
        <w:rPr>
          <w:rFonts w:asciiTheme="minorHAnsi" w:eastAsiaTheme="minorHAnsi" w:hAnsiTheme="minorHAnsi" w:cstheme="minorBidi"/>
          <w:kern w:val="2"/>
          <w:sz w:val="22"/>
          <w:szCs w:val="22"/>
          <w:lang w:eastAsia="en-US"/>
          <w14:ligatures w14:val="standardContextual"/>
        </w:rPr>
        <w:t>colonoscopy,</w:t>
      </w:r>
      <w:r w:rsidR="00CE19BF">
        <w:rPr>
          <w:rFonts w:asciiTheme="minorHAnsi" w:eastAsiaTheme="minorHAnsi" w:hAnsiTheme="minorHAnsi" w:cstheme="minorBidi"/>
          <w:kern w:val="2"/>
          <w:sz w:val="22"/>
          <w:szCs w:val="22"/>
          <w:lang w:eastAsia="en-US"/>
          <w14:ligatures w14:val="standardContextual"/>
        </w:rPr>
        <w:t xml:space="preserve"> understanding of census numbers for 2022, </w:t>
      </w:r>
      <w:r>
        <w:rPr>
          <w:rFonts w:asciiTheme="minorHAnsi" w:eastAsiaTheme="minorHAnsi" w:hAnsiTheme="minorHAnsi" w:cstheme="minorBidi"/>
          <w:kern w:val="2"/>
          <w:sz w:val="22"/>
          <w:szCs w:val="22"/>
          <w:lang w:eastAsia="en-US"/>
          <w14:ligatures w14:val="standardContextual"/>
        </w:rPr>
        <w:t>limitations of predicting colonoscopies based on past colonoscopy numbers, usage of machine learning models, descriptive statistics and its interpretation in health care terms are explored in detail.</w:t>
      </w:r>
      <w:r w:rsidR="003F2E81">
        <w:rPr>
          <w:rFonts w:asciiTheme="minorHAnsi" w:eastAsiaTheme="minorHAnsi" w:hAnsiTheme="minorHAnsi" w:cstheme="minorBidi"/>
          <w:kern w:val="2"/>
          <w:sz w:val="22"/>
          <w:szCs w:val="22"/>
          <w:lang w:eastAsia="en-US"/>
          <w14:ligatures w14:val="standardContextual"/>
        </w:rPr>
        <w:t xml:space="preserve"> This is achieved through in-depth interviews with the subject matter experts. Participants are selected carefully considering their expertise in the field of research topic. The list of questions </w:t>
      </w:r>
      <w:r w:rsidR="00B82D8C">
        <w:rPr>
          <w:rFonts w:asciiTheme="minorHAnsi" w:eastAsiaTheme="minorHAnsi" w:hAnsiTheme="minorHAnsi" w:cstheme="minorBidi"/>
          <w:kern w:val="2"/>
          <w:sz w:val="22"/>
          <w:szCs w:val="22"/>
          <w:lang w:eastAsia="en-US"/>
          <w14:ligatures w14:val="standardContextual"/>
        </w:rPr>
        <w:t>is</w:t>
      </w:r>
      <w:r w:rsidR="003F2E81">
        <w:rPr>
          <w:rFonts w:asciiTheme="minorHAnsi" w:eastAsiaTheme="minorHAnsi" w:hAnsiTheme="minorHAnsi" w:cstheme="minorBidi"/>
          <w:kern w:val="2"/>
          <w:sz w:val="22"/>
          <w:szCs w:val="22"/>
          <w:lang w:eastAsia="en-US"/>
          <w14:ligatures w14:val="standardContextual"/>
        </w:rPr>
        <w:t xml:space="preserve"> prepared and sent to the </w:t>
      </w:r>
      <w:r w:rsidR="00B82D8C">
        <w:rPr>
          <w:rFonts w:asciiTheme="minorHAnsi" w:eastAsiaTheme="minorHAnsi" w:hAnsiTheme="minorHAnsi" w:cstheme="minorBidi"/>
          <w:kern w:val="2"/>
          <w:sz w:val="22"/>
          <w:szCs w:val="22"/>
          <w:lang w:eastAsia="en-US"/>
          <w14:ligatures w14:val="standardContextual"/>
        </w:rPr>
        <w:t>participants, and</w:t>
      </w:r>
      <w:r w:rsidR="003F2E81">
        <w:rPr>
          <w:rFonts w:asciiTheme="minorHAnsi" w:eastAsiaTheme="minorHAnsi" w:hAnsiTheme="minorHAnsi" w:cstheme="minorBidi"/>
          <w:kern w:val="2"/>
          <w:sz w:val="22"/>
          <w:szCs w:val="22"/>
          <w:lang w:eastAsia="en-US"/>
          <w14:ligatures w14:val="standardContextual"/>
        </w:rPr>
        <w:t xml:space="preserve"> direct questions are </w:t>
      </w:r>
      <w:r w:rsidR="00B82D8C">
        <w:rPr>
          <w:rFonts w:asciiTheme="minorHAnsi" w:eastAsiaTheme="minorHAnsi" w:hAnsiTheme="minorHAnsi" w:cstheme="minorBidi"/>
          <w:kern w:val="2"/>
          <w:sz w:val="22"/>
          <w:szCs w:val="22"/>
          <w:lang w:eastAsia="en-US"/>
          <w14:ligatures w14:val="standardContextual"/>
        </w:rPr>
        <w:t>asked,</w:t>
      </w:r>
      <w:r w:rsidR="003F2E81">
        <w:rPr>
          <w:rFonts w:asciiTheme="minorHAnsi" w:eastAsiaTheme="minorHAnsi" w:hAnsiTheme="minorHAnsi" w:cstheme="minorBidi"/>
          <w:kern w:val="2"/>
          <w:sz w:val="22"/>
          <w:szCs w:val="22"/>
          <w:lang w:eastAsia="en-US"/>
          <w14:ligatures w14:val="standardContextual"/>
        </w:rPr>
        <w:t xml:space="preserve"> and the points noted. </w:t>
      </w:r>
      <w:r w:rsidR="00B82D8C">
        <w:rPr>
          <w:rFonts w:asciiTheme="minorHAnsi" w:eastAsiaTheme="minorHAnsi" w:hAnsiTheme="minorHAnsi" w:cstheme="minorBidi"/>
          <w:kern w:val="2"/>
          <w:sz w:val="22"/>
          <w:szCs w:val="22"/>
          <w:lang w:eastAsia="en-US"/>
          <w14:ligatures w14:val="standardContextual"/>
        </w:rPr>
        <w:t>Further research understanding is done by doing a literature review across different themes relevant to the topic.</w:t>
      </w:r>
    </w:p>
    <w:p w14:paraId="60FCCD3A" w14:textId="3C4C424D" w:rsidR="00813930" w:rsidRDefault="00CE19BF" w:rsidP="00813930">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58A85F54" w14:textId="72CA067A"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02B919CA"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493F562C" w14:textId="77777777" w:rsidR="00813930" w:rsidRDefault="00813930" w:rsidP="00813930">
      <w:pPr>
        <w:pStyle w:val="ListParagraph"/>
      </w:pPr>
    </w:p>
    <w:p w14:paraId="173AE3BC" w14:textId="7FD3B7A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p>
    <w:p w14:paraId="0E9DF967" w14:textId="77777777" w:rsidR="00813930" w:rsidRDefault="00813930" w:rsidP="00813930">
      <w:pPr>
        <w:pStyle w:val="ListParagraph"/>
      </w:pPr>
    </w:p>
    <w:p w14:paraId="17ED8898" w14:textId="768EC219"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p>
    <w:p w14:paraId="1941D95A" w14:textId="77777777" w:rsidR="00813930" w:rsidRDefault="00813930" w:rsidP="00813930">
      <w:pPr>
        <w:pStyle w:val="ListParagraph"/>
      </w:pPr>
    </w:p>
    <w:p w14:paraId="24422994" w14:textId="129DCC93"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p>
    <w:p w14:paraId="28077D97" w14:textId="77777777" w:rsidR="00813930" w:rsidRDefault="00813930"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26653107" w:rsidR="00813930" w:rsidRDefault="00813930" w:rsidP="00813930">
      <w:pPr>
        <w:pStyle w:val="ListParagraph"/>
        <w:numPr>
          <w:ilvl w:val="1"/>
          <w:numId w:val="3"/>
        </w:numPr>
      </w:pPr>
      <w:r>
        <w:t>Primary Research</w:t>
      </w: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w:t>
      </w:r>
      <w:r w:rsidRPr="00D67CE3">
        <w:rPr>
          <w:rFonts w:ascii="Calibri" w:hAnsi="Calibri" w:cs="Calibri"/>
        </w:rPr>
        <w:lastRenderedPageBreak/>
        <w:t>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mortality .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w:t>
      </w:r>
      <w:r w:rsidRPr="00D67CE3">
        <w:rPr>
          <w:rFonts w:ascii="Calibri" w:eastAsia="Times New Roman" w:hAnsi="Calibri" w:cs="Calibri"/>
          <w:bCs/>
          <w:color w:val="000000"/>
          <w:lang w:eastAsia="en-IE"/>
        </w:rPr>
        <w:lastRenderedPageBreak/>
        <w:t>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w:t>
      </w:r>
      <w:r w:rsidRPr="00D67CE3">
        <w:rPr>
          <w:rFonts w:ascii="Calibri" w:hAnsi="Calibri" w:cs="Calibri"/>
        </w:rPr>
        <w:lastRenderedPageBreak/>
        <w:t xml:space="preserve">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w:t>
      </w:r>
      <w:r w:rsidRPr="00D67CE3">
        <w:rPr>
          <w:rFonts w:ascii="Calibri" w:hAnsi="Calibri" w:cs="Calibri"/>
        </w:rPr>
        <w:lastRenderedPageBreak/>
        <w:t xml:space="preserve">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 xml:space="preserve">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w:t>
      </w:r>
      <w:r w:rsidRPr="00D67CE3">
        <w:rPr>
          <w:rFonts w:ascii="Calibri" w:hAnsi="Calibri" w:cs="Calibri"/>
        </w:rPr>
        <w:lastRenderedPageBreak/>
        <w:t>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w:t>
      </w:r>
      <w:r w:rsidRPr="00D67CE3">
        <w:rPr>
          <w:rFonts w:ascii="Calibri" w:hAnsi="Calibri" w:cs="Calibri"/>
        </w:rPr>
        <w:lastRenderedPageBreak/>
        <w:t>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w:t>
      </w:r>
      <w:r w:rsidRPr="00D67CE3">
        <w:rPr>
          <w:rFonts w:ascii="Calibri" w:hAnsi="Calibri" w:cs="Calibri"/>
          <w:sz w:val="22"/>
          <w:szCs w:val="22"/>
        </w:rPr>
        <w:lastRenderedPageBreak/>
        <w:t>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w:t>
      </w:r>
      <w:r w:rsidRPr="00D67CE3">
        <w:rPr>
          <w:rFonts w:ascii="Calibri" w:hAnsi="Calibri" w:cs="Calibri"/>
          <w:sz w:val="22"/>
          <w:szCs w:val="22"/>
        </w:rPr>
        <w:lastRenderedPageBreak/>
        <w:t>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w:t>
      </w:r>
      <w:r w:rsidRPr="00D67CE3">
        <w:rPr>
          <w:rFonts w:ascii="Calibri" w:hAnsi="Calibri" w:cs="Calibri"/>
          <w:sz w:val="22"/>
          <w:szCs w:val="22"/>
        </w:rPr>
        <w:lastRenderedPageBreak/>
        <w:t>.This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w:t>
      </w:r>
      <w:r w:rsidRPr="00D67CE3">
        <w:rPr>
          <w:rFonts w:ascii="Calibri" w:hAnsi="Calibri" w:cs="Calibri"/>
          <w:sz w:val="22"/>
          <w:szCs w:val="22"/>
        </w:rPr>
        <w:lastRenderedPageBreak/>
        <w:t xml:space="preserve">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 xml:space="preserve">A new model for associative memory, based on a correlation matrix, is suggested. In this model information is accumulated on memory elements </w:t>
      </w:r>
      <w:r w:rsidRPr="00D67CE3">
        <w:rPr>
          <w:rFonts w:ascii="Calibri" w:hAnsi="Calibri" w:cs="Calibri"/>
          <w:sz w:val="22"/>
          <w:szCs w:val="22"/>
        </w:rPr>
        <w:lastRenderedPageBreak/>
        <w:t>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w:t>
      </w:r>
      <w:r w:rsidRPr="00D67CE3">
        <w:rPr>
          <w:rFonts w:ascii="Calibri" w:hAnsi="Calibri" w:cs="Calibri"/>
          <w:sz w:val="22"/>
          <w:szCs w:val="22"/>
        </w:rPr>
        <w:lastRenderedPageBreak/>
        <w:t xml:space="preserve">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2"/>
  </w:num>
  <w:num w:numId="2" w16cid:durableId="816579074">
    <w:abstractNumId w:val="0"/>
  </w:num>
  <w:num w:numId="3" w16cid:durableId="2589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E574F"/>
    <w:rsid w:val="00104D00"/>
    <w:rsid w:val="00113C60"/>
    <w:rsid w:val="00144D58"/>
    <w:rsid w:val="00221F31"/>
    <w:rsid w:val="00301FA9"/>
    <w:rsid w:val="00310E5C"/>
    <w:rsid w:val="00336B61"/>
    <w:rsid w:val="003F2E81"/>
    <w:rsid w:val="004B087D"/>
    <w:rsid w:val="005604B5"/>
    <w:rsid w:val="005A0386"/>
    <w:rsid w:val="005B558E"/>
    <w:rsid w:val="005B7EBB"/>
    <w:rsid w:val="00674D97"/>
    <w:rsid w:val="006A08FE"/>
    <w:rsid w:val="007A577E"/>
    <w:rsid w:val="007C0BC7"/>
    <w:rsid w:val="00813930"/>
    <w:rsid w:val="008D1B79"/>
    <w:rsid w:val="008E373E"/>
    <w:rsid w:val="00952AE8"/>
    <w:rsid w:val="009A2729"/>
    <w:rsid w:val="009D4C58"/>
    <w:rsid w:val="00AB1AE5"/>
    <w:rsid w:val="00B413D9"/>
    <w:rsid w:val="00B82D8C"/>
    <w:rsid w:val="00C2383D"/>
    <w:rsid w:val="00CE19BF"/>
    <w:rsid w:val="00DC4EB3"/>
    <w:rsid w:val="00DE7745"/>
    <w:rsid w:val="00E41694"/>
    <w:rsid w:val="00E57694"/>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16</Pages>
  <Words>35708</Words>
  <Characters>203536</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17</cp:revision>
  <dcterms:created xsi:type="dcterms:W3CDTF">2023-08-13T12:26:00Z</dcterms:created>
  <dcterms:modified xsi:type="dcterms:W3CDTF">2023-08-18T21:44:00Z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