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8DDC71B" w:rsidR="00113C60" w:rsidRDefault="00113C60" w:rsidP="00113C60">
      <w:r>
        <w:t xml:space="preserve">The topic for this research is machine learning predictions </w:t>
      </w:r>
      <w:r w:rsidR="002B24B4">
        <w:t>in</w:t>
      </w:r>
      <w:r>
        <w:t xml:space="preserve">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w:t>
      </w:r>
      <w:r w:rsidR="002B24B4">
        <w:t>to</w:t>
      </w:r>
      <w:r w:rsidR="00DC4EB3">
        <w:t xml:space="preserve"> get the best model for prediction. In-depth </w:t>
      </w:r>
      <w:r w:rsidR="005604B5">
        <w:t>interviews</w:t>
      </w:r>
      <w:r w:rsidR="00DC4EB3">
        <w:t xml:space="preserve"> are used as the primary research methodology for this </w:t>
      </w:r>
      <w:r w:rsidR="005604B5">
        <w:t xml:space="preserve">research. Data enhancements are done based on the outcomes of this primary research. Hypothesis testing are applied </w:t>
      </w:r>
      <w:r w:rsidR="002B24B4">
        <w:t>to</w:t>
      </w:r>
      <w:r w:rsidR="005604B5">
        <w:t xml:space="preserve">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10302127" w:rsidR="005B558E" w:rsidRDefault="005B558E">
      <w:r>
        <w:t xml:space="preserve">1. To identify the variations in colonoscopies for each gender and defined age groups, across different months of a year </w:t>
      </w:r>
      <w:r w:rsidR="002B24B4">
        <w:t>to</w:t>
      </w:r>
      <w:r>
        <w:t xml:space="preserve"> better plan the colonoscopy capacity in different units using descriptive statistics, furthermore,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0E717634" w:rsidR="00104D00" w:rsidRDefault="00104D00" w:rsidP="00104D00">
      <w:r>
        <w:t xml:space="preserve">Three different samples are used to achieve the above objectives, </w:t>
      </w:r>
      <w:r w:rsidR="002B24B4">
        <w:t>and</w:t>
      </w:r>
      <w:r>
        <w:t xml:space="preserve">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223D8AC5" w:rsidR="00104D00" w:rsidRDefault="00104D00" w:rsidP="00104D00">
      <w:r>
        <w:t xml:space="preserve">Further, </w:t>
      </w:r>
      <w:r w:rsidR="002B24B4">
        <w:t>to</w:t>
      </w:r>
      <w:r>
        <w:t xml:space="preserve">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best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6BCC5"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B05E6"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8ED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571"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0A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A0A9"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188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E8B1D"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37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9616"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51282"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A3EB"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2D290"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99D3"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AE6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3647"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8584D"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40AFB"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6C6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035"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F43F"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DE9E"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0A8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8396"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756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A32F"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4F27"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1D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F87D"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7E01"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97843"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0A52"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4793"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2F7E8"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B46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630"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0D99153"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w:t>
      </w:r>
      <w:r w:rsidR="00730C7B">
        <w:t>To</w:t>
      </w:r>
      <w:r w:rsidR="004B5886">
        <w:t xml:space="preserve">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Feature Engineering techniques are applied to tune the model in order to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4E77"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C2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263"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2594"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FF21"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873B"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0E983"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439B"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will be done in order to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CD88"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871CC"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B6F3"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51D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7765"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911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7C91"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DD"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5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D982"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103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97B3"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F65A"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Train ,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Random Forest, Grid search CV, neural networks will be applied. The best performing model is evaluated. Necessary hyper tuning and further data preparation will be done in a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Create Data sets, Quarterly /Weekly, regression models using the features identified in the research understanding phase, and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BEA8"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4333"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C886"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3632"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8393"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227E4"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E4539"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5B34"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BC6F"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4EBCB"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7DA"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convenience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The first question was 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in order to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48243434" w14:textId="47E4CFD0" w:rsidR="00195DEE" w:rsidRPr="00195DEE" w:rsidRDefault="00195DEE" w:rsidP="00195DEE">
      <w:pPr>
        <w:ind w:firstLine="720"/>
        <w:rPr>
          <w:b/>
          <w:bCs/>
        </w:rPr>
      </w:pPr>
      <w:r>
        <w:rPr>
          <w:b/>
          <w:bCs/>
          <w:u w:val="single"/>
        </w:rPr>
        <w:t>5.1.2</w:t>
      </w:r>
      <w:r>
        <w:rPr>
          <w:b/>
          <w:bCs/>
          <w:u w:val="single"/>
        </w:rPr>
        <w:tab/>
      </w:r>
      <w:r w:rsidRPr="00195DEE">
        <w:rPr>
          <w:b/>
          <w:bCs/>
          <w:u w:val="single"/>
        </w:rPr>
        <w:t>Analysis</w:t>
      </w:r>
      <w:r>
        <w:rPr>
          <w:b/>
          <w:bCs/>
          <w:u w:val="single"/>
        </w:rPr>
        <w:t xml:space="preserve"> and Results</w:t>
      </w:r>
      <w:r w:rsidRPr="00195DEE">
        <w:rPr>
          <w:b/>
          <w:bCs/>
        </w:rPr>
        <w:t>:</w:t>
      </w:r>
    </w:p>
    <w:p w14:paraId="1BC5F81E" w14:textId="735570B4" w:rsidR="00B53E5E" w:rsidRDefault="00195DEE" w:rsidP="002B24B4">
      <w:pPr>
        <w:ind w:left="1080"/>
      </w:pPr>
      <w:r>
        <w:t xml:space="preserve">The interview transcribes of the three interviews are analysed in detail. The questions specific to the census research was answered very elaborately by the research officer. She has recommended that I refer to her research work which states the difference with the bowel screen database and the actual census numbers. There were at least 25% variations in the younger range groups. The deputy program manager has suggested this could be because they might not be the department of social welfare database. The significance of the gender/ age while predicting colonoscopy couldn’t be confirmed, however since there are variations in the uptake rate, we will check further in the below sections using the corelation matrix and apply the models and see if there are impacts. We will also do a hypothesis testing to confirm the </w:t>
      </w:r>
      <w:r w:rsidR="00436481">
        <w:t xml:space="preserve">impacts of these features. The Program Evaluation Unit lead has directed me to the literature for the round reports for Bowel Screen for Ireland, </w:t>
      </w:r>
      <w:r w:rsidR="001C55B3">
        <w:t>and</w:t>
      </w:r>
      <w:r w:rsidR="00436481">
        <w:t xml:space="preserve"> the studies done by Scotland to validate the impacts of the features, the round reports review didn’t suggest any impact. The deputy program manager was emphasising on the use of department of social protection data as opposed to the census data, however the census data showed that there is a substantial difference between them, and since the prediction is used for planning the colonoscopy numbers, we will use the census data which could be more </w:t>
      </w:r>
      <w:r w:rsidR="002B24B4">
        <w:t>accurate.</w:t>
      </w:r>
    </w:p>
    <w:p w14:paraId="7F8FB10A" w14:textId="77777777" w:rsidR="00B53E5E" w:rsidRDefault="00B53E5E" w:rsidP="00B53E5E">
      <w:pPr>
        <w:pStyle w:val="ListParagraph"/>
      </w:pPr>
    </w:p>
    <w:p w14:paraId="4390F6E7" w14:textId="3E6715A1" w:rsidR="00813930" w:rsidRDefault="00813930" w:rsidP="00813930">
      <w:pPr>
        <w:pStyle w:val="ListParagraph"/>
        <w:numPr>
          <w:ilvl w:val="1"/>
          <w:numId w:val="3"/>
        </w:numPr>
      </w:pPr>
      <w:r>
        <w:t>Data Extract</w:t>
      </w:r>
      <w:r w:rsidR="002B24B4">
        <w:t>:</w:t>
      </w:r>
    </w:p>
    <w:p w14:paraId="37098EBA" w14:textId="5EACB760" w:rsidR="002B24B4" w:rsidRDefault="002B24B4" w:rsidP="002B24B4">
      <w:pPr>
        <w:pStyle w:val="ListParagraph"/>
      </w:pPr>
      <w:r>
        <w:t xml:space="preserve">There are two sets of data extracted as part of the research. One is the actual screening colonoscopy counts from the Bowel Screen database. The second is the 2022 census data which is publicly available in the CSO database. The data from the Bowel screen is available in the SQL server database, SQL is written to extract the data. </w:t>
      </w:r>
      <w:r w:rsidR="001C55B3">
        <w:t>No personal sensitive data will be extracted from the database. The Id’s columns are generated for the purpose of analysis, and no link to these ID’s will be available in the bowel screen database.</w:t>
      </w:r>
    </w:p>
    <w:p w14:paraId="21CC31A2" w14:textId="77777777" w:rsidR="001C55B3" w:rsidRDefault="001C55B3" w:rsidP="001C55B3">
      <w:pPr>
        <w:pStyle w:val="ListParagraph"/>
      </w:pPr>
    </w:p>
    <w:p w14:paraId="1075DB31" w14:textId="4F98539B" w:rsidR="001C55B3" w:rsidRPr="001C55B3" w:rsidRDefault="001C55B3" w:rsidP="001C55B3">
      <w:pPr>
        <w:pStyle w:val="ListParagraph"/>
        <w:rPr>
          <w:b/>
          <w:bCs/>
        </w:rPr>
      </w:pPr>
      <w:r w:rsidRPr="001C55B3">
        <w:rPr>
          <w:b/>
          <w:bCs/>
        </w:rPr>
        <w:t>SQL Used:</w:t>
      </w:r>
    </w:p>
    <w:p w14:paraId="49EACBC6" w14:textId="77777777" w:rsidR="001C55B3" w:rsidRDefault="001C55B3" w:rsidP="001C55B3">
      <w:pPr>
        <w:pStyle w:val="ListParagraph"/>
      </w:pPr>
    </w:p>
    <w:p w14:paraId="68F2E0CC" w14:textId="5C889FDE" w:rsidR="002B24B4" w:rsidRDefault="001C55B3" w:rsidP="00CE2490">
      <w:pPr>
        <w:pStyle w:val="ListParagraph"/>
      </w:pPr>
      <w:r w:rsidRPr="001C55B3">
        <w:drawing>
          <wp:inline distT="0" distB="0" distL="0" distR="0" wp14:anchorId="75C26DB5" wp14:editId="2F21D2C0">
            <wp:extent cx="4015740" cy="1292013"/>
            <wp:effectExtent l="0" t="0" r="381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5"/>
                    <a:stretch>
                      <a:fillRect/>
                    </a:stretch>
                  </pic:blipFill>
                  <pic:spPr>
                    <a:xfrm>
                      <a:off x="0" y="0"/>
                      <a:ext cx="4033108" cy="1297601"/>
                    </a:xfrm>
                    <a:prstGeom prst="rect">
                      <a:avLst/>
                    </a:prstGeom>
                  </pic:spPr>
                </pic:pic>
              </a:graphicData>
            </a:graphic>
          </wp:inline>
        </w:drawing>
      </w:r>
    </w:p>
    <w:p w14:paraId="7C29C57B" w14:textId="77777777" w:rsidR="00CE2490" w:rsidRDefault="00CE2490" w:rsidP="00CE2490">
      <w:pPr>
        <w:pStyle w:val="ListParagraph"/>
      </w:pPr>
    </w:p>
    <w:p w14:paraId="0E3469D4" w14:textId="0BCC9B8D" w:rsidR="00CE2490" w:rsidRDefault="00CE2490" w:rsidP="00CE2490">
      <w:pPr>
        <w:ind w:firstLine="720"/>
        <w:rPr>
          <w:rFonts w:ascii="Calibri" w:eastAsia="Times New Roman" w:hAnsi="Calibri" w:cs="Calibri"/>
          <w:color w:val="0000FF"/>
          <w:kern w:val="0"/>
          <w:u w:val="single"/>
          <w:lang w:eastAsia="en-IE"/>
          <w14:ligatures w14:val="none"/>
        </w:rPr>
      </w:pPr>
      <w:r>
        <w:t>The second set of data is extracted from the CSO website (</w:t>
      </w:r>
      <w:hyperlink r:id="rId6" w:history="1">
        <w:r w:rsidRPr="00CE2490">
          <w:rPr>
            <w:rFonts w:ascii="Calibri" w:eastAsia="Times New Roman" w:hAnsi="Calibri" w:cs="Calibri"/>
            <w:color w:val="0000FF"/>
            <w:kern w:val="0"/>
            <w:u w:val="single"/>
            <w:lang w:eastAsia="en-IE"/>
            <w14:ligatures w14:val="none"/>
          </w:rPr>
          <w:t>https://ws.cso.ie/public/api.restful/PxStat.Data.Cube_API.ReadDataset/FY006B/XLSX/2007/en</w:t>
        </w:r>
      </w:hyperlink>
      <w:r>
        <w:rPr>
          <w:rFonts w:ascii="Calibri" w:eastAsia="Times New Roman" w:hAnsi="Calibri" w:cs="Calibri"/>
          <w:color w:val="0000FF"/>
          <w:kern w:val="0"/>
          <w:u w:val="single"/>
          <w:lang w:eastAsia="en-IE"/>
          <w14:ligatures w14:val="none"/>
        </w:rPr>
        <w:t>)</w:t>
      </w:r>
    </w:p>
    <w:p w14:paraId="710FF1F1" w14:textId="77777777" w:rsidR="00CE2490" w:rsidRPr="00CE2490" w:rsidRDefault="00CE2490" w:rsidP="00CE2490">
      <w:pPr>
        <w:ind w:firstLine="720"/>
        <w:rPr>
          <w:rFonts w:ascii="Calibri" w:eastAsia="Times New Roman" w:hAnsi="Calibri" w:cs="Calibri"/>
          <w:color w:val="0000FF"/>
          <w:kern w:val="0"/>
          <w:u w:val="single"/>
          <w:lang w:eastAsia="en-IE"/>
          <w14:ligatures w14:val="none"/>
        </w:rPr>
      </w:pPr>
    </w:p>
    <w:p w14:paraId="1C98C8E7" w14:textId="77777777" w:rsidR="00CE2490" w:rsidRDefault="00CE2490" w:rsidP="00CE2490">
      <w:pPr>
        <w:pStyle w:val="ListParagraph"/>
      </w:pPr>
    </w:p>
    <w:p w14:paraId="0C94AD59" w14:textId="41EC572A" w:rsidR="00CE2490" w:rsidRDefault="00813930" w:rsidP="00CE2490">
      <w:pPr>
        <w:pStyle w:val="ListParagraph"/>
        <w:numPr>
          <w:ilvl w:val="1"/>
          <w:numId w:val="3"/>
        </w:numPr>
      </w:pPr>
      <w:r>
        <w:t>Data preparation</w:t>
      </w:r>
      <w:r w:rsidR="00CE2490">
        <w:t>:</w:t>
      </w:r>
    </w:p>
    <w:p w14:paraId="140BB928" w14:textId="77777777" w:rsidR="00730C7B" w:rsidRDefault="00730C7B" w:rsidP="002A578F">
      <w:pPr>
        <w:pStyle w:val="ListParagraph"/>
      </w:pPr>
      <w:r>
        <w:t xml:space="preserve">Data preparation is done as an iterative process in order to achieve reliable model parameters. </w:t>
      </w:r>
    </w:p>
    <w:p w14:paraId="5167A411" w14:textId="6C75412C" w:rsidR="002A578F" w:rsidRDefault="00730C7B" w:rsidP="002A578F">
      <w:pPr>
        <w:pStyle w:val="ListParagraph"/>
      </w:pPr>
      <w:r>
        <w:t xml:space="preserve">The raw data obtained from the Bowel screen database, are checked for any NULL values </w:t>
      </w:r>
    </w:p>
    <w:p w14:paraId="134122DC" w14:textId="77777777" w:rsidR="002A578F" w:rsidRDefault="002A578F" w:rsidP="002A578F">
      <w:pPr>
        <w:pStyle w:val="ListParagraph"/>
      </w:pP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 xml:space="preserve">Ethical consideration with respect to literature review are considering wide range of topics in eight different themes related to the research in the technical areas with respect to machine learning or </w:t>
      </w:r>
      <w:r>
        <w:lastRenderedPageBreak/>
        <w:t>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w:t>
      </w:r>
      <w:r w:rsidRPr="00D67CE3">
        <w:rPr>
          <w:rFonts w:ascii="Calibri" w:eastAsia="Times New Roman" w:hAnsi="Calibri" w:cs="Calibri"/>
          <w:bCs/>
          <w:color w:val="000000"/>
          <w:lang w:eastAsia="en-IE"/>
        </w:rPr>
        <w:lastRenderedPageBreak/>
        <w:t xml:space="preserve">of cumulative incidence and mortality Colorectal cancer incidence, distal cancer incidence, proximal cancer incidence (E and F), and colorectal cancer mortality .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prehabilitation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w:t>
      </w:r>
      <w:r w:rsidRPr="00D67CE3">
        <w:rPr>
          <w:rFonts w:ascii="Calibri" w:hAnsi="Calibri" w:cs="Calibri"/>
        </w:rPr>
        <w:lastRenderedPageBreak/>
        <w:t xml:space="preserve">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colonoscopic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w:t>
      </w:r>
      <w:r w:rsidRPr="00D67CE3">
        <w:rPr>
          <w:rFonts w:ascii="Calibri" w:hAnsi="Calibri" w:cs="Calibri"/>
        </w:rPr>
        <w:lastRenderedPageBreak/>
        <w:t xml:space="preserve">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The literature highlights the usage of Machine learning models in health care. The study here focusses on a machine learning based predictive model to identify acute coronary syndrome outcomes and mortality of patients in hospital. Machine learning based soft-</w:t>
      </w:r>
      <w:r w:rsidRPr="00D67CE3">
        <w:rPr>
          <w:rFonts w:ascii="Calibri" w:hAnsi="Calibri" w:cs="Calibri"/>
        </w:rPr>
        <w:lastRenderedPageBreak/>
        <w:t xml:space="preserve">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w:t>
      </w:r>
      <w:r w:rsidRPr="00D67CE3">
        <w:rPr>
          <w:rFonts w:ascii="Calibri" w:hAnsi="Calibri" w:cs="Calibri"/>
        </w:rPr>
        <w:lastRenderedPageBreak/>
        <w:t>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lastRenderedPageBreak/>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7"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w:t>
      </w:r>
      <w:r w:rsidRPr="00D67CE3">
        <w:rPr>
          <w:rFonts w:ascii="Calibri" w:hAnsi="Calibri" w:cs="Calibri"/>
          <w:sz w:val="22"/>
          <w:szCs w:val="22"/>
        </w:rPr>
        <w:lastRenderedPageBreak/>
        <w:t xml:space="preserve">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ebook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w:t>
      </w:r>
      <w:r w:rsidRPr="00D67CE3">
        <w:rPr>
          <w:rFonts w:ascii="Calibri" w:hAnsi="Calibri" w:cs="Calibri"/>
          <w:sz w:val="22"/>
          <w:szCs w:val="22"/>
        </w:rPr>
        <w:lastRenderedPageBreak/>
        <w:t>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ebook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t>
      </w:r>
      <w:r w:rsidRPr="00D67CE3">
        <w:rPr>
          <w:rFonts w:ascii="Calibri" w:hAnsi="Calibri" w:cs="Calibri"/>
          <w:sz w:val="22"/>
          <w:szCs w:val="22"/>
        </w:rPr>
        <w:lastRenderedPageBreak/>
        <w:t>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k-Nearest-Neighbors,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8"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biologies.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w:t>
      </w:r>
      <w:r w:rsidRPr="00D67CE3">
        <w:rPr>
          <w:rFonts w:ascii="Calibri" w:hAnsi="Calibri" w:cs="Calibri"/>
          <w:sz w:val="22"/>
          <w:szCs w:val="22"/>
        </w:rPr>
        <w:lastRenderedPageBreak/>
        <w:t>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w:t>
      </w:r>
      <w:r w:rsidRPr="00D67CE3">
        <w:rPr>
          <w:rFonts w:ascii="Calibri" w:hAnsi="Calibri" w:cs="Calibri"/>
          <w:sz w:val="22"/>
          <w:szCs w:val="22"/>
        </w:rPr>
        <w:lastRenderedPageBreak/>
        <w:t>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 xml:space="preserve">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w:t>
      </w:r>
      <w:r>
        <w:lastRenderedPageBreak/>
        <w:t>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D7B5F"/>
    <w:rsid w:val="000E574F"/>
    <w:rsid w:val="00100389"/>
    <w:rsid w:val="00104D00"/>
    <w:rsid w:val="00113C60"/>
    <w:rsid w:val="00125101"/>
    <w:rsid w:val="00127944"/>
    <w:rsid w:val="00144D58"/>
    <w:rsid w:val="0018604C"/>
    <w:rsid w:val="00195DEE"/>
    <w:rsid w:val="001C55B3"/>
    <w:rsid w:val="00221F31"/>
    <w:rsid w:val="002320C3"/>
    <w:rsid w:val="002503CC"/>
    <w:rsid w:val="0026395F"/>
    <w:rsid w:val="00276EEA"/>
    <w:rsid w:val="002A451B"/>
    <w:rsid w:val="002A578F"/>
    <w:rsid w:val="002B24B4"/>
    <w:rsid w:val="002D6C96"/>
    <w:rsid w:val="00301FA9"/>
    <w:rsid w:val="00310E5C"/>
    <w:rsid w:val="00336B61"/>
    <w:rsid w:val="00364E41"/>
    <w:rsid w:val="003841A5"/>
    <w:rsid w:val="00387401"/>
    <w:rsid w:val="00394188"/>
    <w:rsid w:val="003A0823"/>
    <w:rsid w:val="003B7FAB"/>
    <w:rsid w:val="003C00A3"/>
    <w:rsid w:val="003C7B05"/>
    <w:rsid w:val="003F2E81"/>
    <w:rsid w:val="0041739E"/>
    <w:rsid w:val="00436481"/>
    <w:rsid w:val="004711F6"/>
    <w:rsid w:val="004B087D"/>
    <w:rsid w:val="004B5886"/>
    <w:rsid w:val="004C4441"/>
    <w:rsid w:val="004D2DED"/>
    <w:rsid w:val="005604B5"/>
    <w:rsid w:val="005A0386"/>
    <w:rsid w:val="005B558E"/>
    <w:rsid w:val="005B7EBB"/>
    <w:rsid w:val="005D0038"/>
    <w:rsid w:val="00674D97"/>
    <w:rsid w:val="00693D5B"/>
    <w:rsid w:val="006A08FE"/>
    <w:rsid w:val="00730C7B"/>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0130"/>
    <w:rsid w:val="00B82D8C"/>
    <w:rsid w:val="00BB0CC8"/>
    <w:rsid w:val="00BC615B"/>
    <w:rsid w:val="00C16C38"/>
    <w:rsid w:val="00C2383D"/>
    <w:rsid w:val="00C42B37"/>
    <w:rsid w:val="00C45CA3"/>
    <w:rsid w:val="00C512E2"/>
    <w:rsid w:val="00C979F0"/>
    <w:rsid w:val="00CD1E4D"/>
    <w:rsid w:val="00CE19BF"/>
    <w:rsid w:val="00CE2490"/>
    <w:rsid w:val="00D14C1D"/>
    <w:rsid w:val="00D2712E"/>
    <w:rsid w:val="00D879C9"/>
    <w:rsid w:val="00DB4EAF"/>
    <w:rsid w:val="00DC4EB3"/>
    <w:rsid w:val="00DE7745"/>
    <w:rsid w:val="00E41694"/>
    <w:rsid w:val="00E54198"/>
    <w:rsid w:val="00E5522F"/>
    <w:rsid w:val="00E57694"/>
    <w:rsid w:val="00E8199E"/>
    <w:rsid w:val="00E85EB9"/>
    <w:rsid w:val="00ED121B"/>
    <w:rsid w:val="00F32267"/>
    <w:rsid w:val="00F3597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 w:type="character" w:styleId="Hyperlink">
    <w:name w:val="Hyperlink"/>
    <w:basedOn w:val="DefaultParagraphFont"/>
    <w:uiPriority w:val="99"/>
    <w:semiHidden/>
    <w:unhideWhenUsed/>
    <w:rsid w:val="00CE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hemical-engineering/chemisorption" TargetMode="External"/><Relationship Id="rId3" Type="http://schemas.openxmlformats.org/officeDocument/2006/relationships/settings" Target="settings.xml"/><Relationship Id="rId7" Type="http://schemas.openxmlformats.org/officeDocument/2006/relationships/hyperlink" Target="https://www.sciencedirect.com/topics/medicine-and-dentistry/multivariat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s.cso.ie/public/api.restful/PxStat.Data.Cube_API.ReadDataset/FY006B/XLSX/2007/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22</Pages>
  <Words>37442</Words>
  <Characters>213421</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Kumar</cp:lastModifiedBy>
  <cp:revision>5</cp:revision>
  <dcterms:created xsi:type="dcterms:W3CDTF">2023-08-22T10:27:00Z</dcterms:created>
  <dcterms:modified xsi:type="dcterms:W3CDTF">2023-08-22T15:39:00Z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