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6B3E15F6" w:rsidR="00E57694" w:rsidRPr="00113C60" w:rsidRDefault="00E57694">
      <w:pPr>
        <w:rPr>
          <w:b/>
          <w:bCs/>
          <w:u w:val="single"/>
        </w:rPr>
      </w:pPr>
      <w:r w:rsidRPr="00113C60">
        <w:rPr>
          <w:b/>
          <w:bCs/>
          <w:u w:val="single"/>
        </w:rPr>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637E2E82" w:rsidR="00B413D9" w:rsidRPr="008D1B79" w:rsidRDefault="00113C60">
      <w:pPr>
        <w:rPr>
          <w:b/>
          <w:bCs/>
          <w:u w:val="single"/>
        </w:rPr>
      </w:pPr>
      <w:r w:rsidRPr="008D1B79">
        <w:rPr>
          <w:b/>
          <w:bCs/>
          <w:u w:val="single"/>
        </w:rPr>
        <w:t>Introduction:</w:t>
      </w:r>
    </w:p>
    <w:p w14:paraId="791440A8" w14:textId="098C1E49" w:rsidR="00113C60" w:rsidRDefault="00113C60" w:rsidP="00113C60">
      <w:r>
        <w:t xml:space="preserve">The topic for this research is machine learning predictions in the area of bowel screening colonoscopy, the features impacting colonoscopy, </w:t>
      </w:r>
      <w:r w:rsidR="00AB1AE5">
        <w:t xml:space="preserve">statistical </w:t>
      </w:r>
      <w:proofErr w:type="gramStart"/>
      <w:r w:rsidR="00AB1AE5">
        <w:t>analysis</w:t>
      </w:r>
      <w:r w:rsidR="00AB1AE5">
        <w:t xml:space="preserve"> ,</w:t>
      </w:r>
      <w:r>
        <w:t>machine</w:t>
      </w:r>
      <w:proofErr w:type="gramEnd"/>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in order to get the best model for prediction. In-depth </w:t>
      </w:r>
      <w:r w:rsidR="005604B5">
        <w:t>interviews</w:t>
      </w:r>
      <w:r w:rsidR="00DC4EB3">
        <w:t xml:space="preserve"> are used as the primary research methodology for this </w:t>
      </w:r>
      <w:r w:rsidR="005604B5">
        <w:t>research. Data enhancements are done based on the outcomes of this primary research. Hypothesis testing are applied in order to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5B558E" w:rsidRDefault="005B558E">
      <w:pPr>
        <w:rPr>
          <w:b/>
          <w:bCs/>
          <w:u w:val="single"/>
        </w:rPr>
      </w:pPr>
      <w:r w:rsidRPr="005B558E">
        <w:rPr>
          <w:b/>
          <w:bCs/>
          <w:u w:val="single"/>
        </w:rPr>
        <w:t>Objectives:</w:t>
      </w:r>
    </w:p>
    <w:p w14:paraId="24C55E0A" w14:textId="77777777" w:rsidR="005B558E" w:rsidRDefault="005B558E">
      <w:r>
        <w:t xml:space="preserve">1. To identify the variations in colonoscopies for each gender and defined age groups, across different months of a year in order to better plan the colonoscopy capacity in different units using descriptive statistics, </w:t>
      </w:r>
      <w:r>
        <w:t>furthermore,</w:t>
      </w:r>
      <w:r>
        <w:t xml:space="preserve"> do a hypothesis testing to test if the colonoscopy counts for male population are less compared to females in order to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Default="00104D00">
      <w:pPr>
        <w:rPr>
          <w:b/>
          <w:bCs/>
          <w:u w:val="single"/>
        </w:rPr>
      </w:pPr>
      <w:r w:rsidRPr="00104D00">
        <w:rPr>
          <w:b/>
          <w:bCs/>
          <w:u w:val="single"/>
        </w:rPr>
        <w:lastRenderedPageBreak/>
        <w:t>Sampling Strategy:</w:t>
      </w:r>
    </w:p>
    <w:p w14:paraId="1EF6DAE0" w14:textId="77777777"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77777777" w:rsidR="00104D00" w:rsidRDefault="00104D00" w:rsidP="00104D00">
      <w:r>
        <w:t xml:space="preserve">Three different samples are used to achieve the above objectives, and also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77777777" w:rsidR="00104D00" w:rsidRDefault="00104D00" w:rsidP="00104D00">
      <w:r>
        <w:t xml:space="preserve">Further, in order to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lastRenderedPageBreak/>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7777777" w:rsidR="00301FA9" w:rsidRDefault="00301FA9" w:rsidP="00301FA9">
      <w:r>
        <w:t xml:space="preserve">The materials reviewed are openly available on the internet, previous research papers, articles etc are reviewed as part of the process. </w:t>
      </w:r>
      <w:proofErr w:type="gramStart"/>
      <w:r>
        <w:t>Eighty one</w:t>
      </w:r>
      <w:proofErr w:type="gramEnd"/>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In order to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Ethical consideration with respect to literature review are considering wide range of topics in eight different themes related to the research in the technical areas with respect to machine learning or statistics, even in the area of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Segnan</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w:t>
      </w:r>
      <w:r w:rsidRPr="00D67CE3">
        <w:rPr>
          <w:rFonts w:ascii="Calibri" w:hAnsi="Calibri" w:cs="Calibri"/>
        </w:rPr>
        <w:lastRenderedPageBreak/>
        <w:t>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w:t>
      </w:r>
      <w:r w:rsidRPr="00D67CE3">
        <w:rPr>
          <w:rFonts w:ascii="Calibri" w:eastAsia="Times New Roman" w:hAnsi="Calibri" w:cs="Calibri"/>
          <w:bCs/>
          <w:color w:val="000000"/>
          <w:lang w:eastAsia="en-IE"/>
        </w:rPr>
        <w:lastRenderedPageBreak/>
        <w:t>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Sorbye</w:t>
      </w:r>
      <w:proofErr w:type="spellEnd"/>
      <w:r w:rsidRPr="00D67CE3">
        <w:rPr>
          <w:rFonts w:ascii="Calibri" w:hAnsi="Calibri" w:cs="Calibri"/>
        </w:rPr>
        <w:t xml:space="preserv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in spite of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Citarda</w:t>
      </w:r>
      <w:proofErr w:type="spellEnd"/>
      <w:r w:rsidRPr="00D67CE3">
        <w:rPr>
          <w:rFonts w:ascii="Calibri" w:hAnsi="Calibri" w:cs="Calibri"/>
        </w:rPr>
        <w:t xml:space="preserve">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w:t>
      </w:r>
      <w:r w:rsidRPr="00D67CE3">
        <w:rPr>
          <w:rFonts w:ascii="Calibri" w:hAnsi="Calibri" w:cs="Calibri"/>
        </w:rPr>
        <w:lastRenderedPageBreak/>
        <w:t xml:space="preserve">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Kodeda</w:t>
      </w:r>
      <w:proofErr w:type="spellEnd"/>
      <w:r w:rsidRPr="00D67CE3">
        <w:rPr>
          <w:rFonts w:ascii="Calibri" w:hAnsi="Calibri" w:cs="Calibri"/>
        </w:rPr>
        <w:t xml:space="preserve">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fairly equal,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Kodeda</w:t>
      </w:r>
      <w:proofErr w:type="spellEnd"/>
      <w:r w:rsidRPr="00D67CE3">
        <w:rPr>
          <w:rFonts w:ascii="Calibri" w:hAnsi="Calibri" w:cs="Calibri"/>
        </w:rPr>
        <w:t xml:space="preserve">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have the ability to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final results.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w:t>
      </w:r>
      <w:r w:rsidRPr="00D67CE3">
        <w:rPr>
          <w:rFonts w:ascii="Calibri" w:hAnsi="Calibri" w:cs="Calibri"/>
        </w:rPr>
        <w:lastRenderedPageBreak/>
        <w:t xml:space="preserve">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 xml:space="preserve">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w:t>
      </w:r>
      <w:r w:rsidRPr="00D67CE3">
        <w:rPr>
          <w:rFonts w:ascii="Calibri" w:hAnsi="Calibri" w:cs="Calibri"/>
        </w:rPr>
        <w:lastRenderedPageBreak/>
        <w:t>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proofErr w:type="spellStart"/>
      <w:r w:rsidRPr="00D67CE3">
        <w:rPr>
          <w:rFonts w:ascii="Calibri" w:hAnsi="Calibri" w:cs="Calibri"/>
        </w:rPr>
        <w:t>Bottou</w:t>
      </w:r>
      <w:proofErr w:type="spellEnd"/>
      <w:r w:rsidRPr="00D67CE3">
        <w:rPr>
          <w:rFonts w:ascii="Calibri" w:hAnsi="Calibri" w:cs="Calibri"/>
        </w:rPr>
        <w:t xml:space="preserve">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w:t>
      </w:r>
      <w:r w:rsidRPr="00D67CE3">
        <w:rPr>
          <w:rFonts w:ascii="Calibri" w:hAnsi="Calibri" w:cs="Calibri"/>
        </w:rPr>
        <w:lastRenderedPageBreak/>
        <w:t>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Consedine</w:t>
      </w:r>
      <w:proofErr w:type="spellEnd"/>
      <w:r w:rsidRPr="00D67CE3">
        <w:rPr>
          <w:rFonts w:ascii="Calibri" w:hAnsi="Calibri" w:cs="Calibri"/>
          <w:sz w:val="22"/>
          <w:szCs w:val="22"/>
        </w:rPr>
        <w:t xml:space="preserv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w:t>
      </w:r>
      <w:r w:rsidRPr="00D67CE3">
        <w:rPr>
          <w:rFonts w:ascii="Calibri" w:hAnsi="Calibri" w:cs="Calibri"/>
          <w:sz w:val="22"/>
          <w:szCs w:val="22"/>
        </w:rPr>
        <w:lastRenderedPageBreak/>
        <w:t>equally so across domains and it interacted with judgment concern in several cases, providing preliminary evidence that there are situations in which aspects of medical embarrassment may actually facilitate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 xml:space="preserve">(“Effect of Gender, Age and Deprivation on Key Performance Indicators in a </w:t>
      </w:r>
      <w:proofErr w:type="spellStart"/>
      <w:r w:rsidRPr="00D67CE3">
        <w:rPr>
          <w:rFonts w:ascii="Calibri" w:hAnsi="Calibri" w:cs="Calibri"/>
          <w:sz w:val="22"/>
          <w:szCs w:val="22"/>
        </w:rPr>
        <w:t>Fobt</w:t>
      </w:r>
      <w:proofErr w:type="spellEnd"/>
      <w:r w:rsidRPr="00D67CE3">
        <w:rPr>
          <w:rFonts w:ascii="Calibri" w:hAnsi="Calibri" w:cs="Calibri"/>
          <w:sz w:val="22"/>
          <w:szCs w:val="22"/>
        </w:rPr>
        <w: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4"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gramStart"/>
      <w:r w:rsidRPr="00D67CE3">
        <w:rPr>
          <w:rFonts w:ascii="Calibri" w:hAnsi="Calibri" w:cs="Calibri"/>
          <w:sz w:val="22"/>
          <w:szCs w:val="22"/>
        </w:rPr>
        <w:t>von</w:t>
      </w:r>
      <w:proofErr w:type="gramEnd"/>
      <w:r w:rsidRPr="00D67CE3">
        <w:rPr>
          <w:rFonts w:ascii="Calibri" w:hAnsi="Calibri" w:cs="Calibri"/>
          <w:sz w:val="22"/>
          <w:szCs w:val="22"/>
        </w:rPr>
        <w:t xml:space="preserve">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w:t>
      </w:r>
      <w:r w:rsidRPr="00D67CE3">
        <w:rPr>
          <w:rFonts w:ascii="Calibri" w:hAnsi="Calibri" w:cs="Calibri"/>
          <w:sz w:val="22"/>
          <w:szCs w:val="22"/>
        </w:rPr>
        <w:lastRenderedPageBreak/>
        <w:t>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as a result of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Wohlin</w:t>
      </w:r>
      <w:proofErr w:type="spellEnd"/>
      <w:r w:rsidRPr="00D67CE3">
        <w:rPr>
          <w:rFonts w:ascii="Calibri" w:hAnsi="Calibri" w:cs="Calibri"/>
          <w:sz w:val="22"/>
          <w:szCs w:val="22"/>
        </w:rPr>
        <w:t xml:space="preserve">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Thango</w:t>
      </w:r>
      <w:proofErr w:type="spellEnd"/>
      <w:r w:rsidRPr="00D67CE3">
        <w:rPr>
          <w:rFonts w:ascii="Calibri" w:hAnsi="Calibri" w:cs="Calibri"/>
          <w:sz w:val="22"/>
          <w:szCs w:val="22"/>
        </w:rPr>
        <w:t>,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w:t>
      </w:r>
      <w:r w:rsidRPr="00D67CE3">
        <w:rPr>
          <w:rFonts w:ascii="Calibri" w:hAnsi="Calibri" w:cs="Calibri"/>
          <w:sz w:val="22"/>
          <w:szCs w:val="22"/>
        </w:rPr>
        <w:lastRenderedPageBreak/>
        <w:t xml:space="preserve">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Kukliansky</w:t>
      </w:r>
      <w:proofErr w:type="spellEnd"/>
      <w:r w:rsidRPr="00D67CE3">
        <w:rPr>
          <w:rFonts w:ascii="Calibri" w:hAnsi="Calibri" w:cs="Calibri"/>
          <w:sz w:val="22"/>
          <w:szCs w:val="22"/>
        </w:rPr>
        <w:t>,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 xml:space="preserve">(Biernat and </w:t>
      </w:r>
      <w:proofErr w:type="spellStart"/>
      <w:r w:rsidRPr="00D67CE3">
        <w:rPr>
          <w:rFonts w:ascii="Calibri" w:hAnsi="Calibri" w:cs="Calibri"/>
          <w:sz w:val="22"/>
          <w:szCs w:val="22"/>
        </w:rPr>
        <w:t>Piątkowska</w:t>
      </w:r>
      <w:proofErr w:type="spellEnd"/>
      <w:r w:rsidRPr="00D67CE3">
        <w:rPr>
          <w:rFonts w:ascii="Calibri" w:hAnsi="Calibri" w:cs="Calibri"/>
          <w:sz w:val="22"/>
          <w:szCs w:val="22"/>
        </w:rPr>
        <w:t>,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Naïve 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5"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w:t>
      </w:r>
      <w:r w:rsidRPr="00D67CE3">
        <w:rPr>
          <w:rFonts w:ascii="Calibri" w:hAnsi="Calibri" w:cs="Calibri"/>
          <w:sz w:val="22"/>
          <w:szCs w:val="22"/>
        </w:rPr>
        <w:lastRenderedPageBreak/>
        <w:t xml:space="preserve">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Duboue</w:t>
      </w:r>
      <w:proofErr w:type="spellEnd"/>
      <w:r w:rsidRPr="00D67CE3">
        <w:rPr>
          <w:rFonts w:ascii="Calibri" w:hAnsi="Calibri" w:cs="Calibri"/>
          <w:sz w:val="22"/>
          <w:szCs w:val="22"/>
        </w:rPr>
        <w:t>,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 xml:space="preserve">(Gopika and </w:t>
      </w:r>
      <w:proofErr w:type="spellStart"/>
      <w:r w:rsidRPr="00D67CE3">
        <w:rPr>
          <w:rFonts w:ascii="Calibri" w:hAnsi="Calibri" w:cs="Calibri"/>
          <w:sz w:val="22"/>
          <w:szCs w:val="22"/>
        </w:rPr>
        <w:t>Kowshalaya</w:t>
      </w:r>
      <w:proofErr w:type="spellEnd"/>
      <w:r w:rsidRPr="00D67CE3">
        <w:rPr>
          <w:rFonts w:ascii="Calibri" w:hAnsi="Calibri" w:cs="Calibri"/>
          <w:sz w:val="22"/>
          <w:szCs w:val="22"/>
        </w:rPr>
        <w:t xml:space="preserve">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 xml:space="preserve">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w:t>
      </w:r>
      <w:r w:rsidRPr="00D67CE3">
        <w:rPr>
          <w:rFonts w:ascii="Calibri" w:hAnsi="Calibri" w:cs="Calibri"/>
          <w:sz w:val="22"/>
          <w:szCs w:val="22"/>
        </w:rPr>
        <w:lastRenderedPageBreak/>
        <w:t>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each and every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Aggrawal</w:t>
      </w:r>
      <w:proofErr w:type="spellEnd"/>
      <w:r w:rsidRPr="00D67CE3">
        <w:rPr>
          <w:rFonts w:ascii="Calibri" w:hAnsi="Calibri" w:cs="Calibri"/>
          <w:sz w:val="22"/>
          <w:szCs w:val="22"/>
        </w:rPr>
        <w:t xml:space="preserve">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Leddin</w:t>
      </w:r>
      <w:proofErr w:type="spellEnd"/>
      <w:r w:rsidRPr="00D67CE3">
        <w:rPr>
          <w:rFonts w:ascii="Calibri" w:hAnsi="Calibri" w:cs="Calibri"/>
          <w:sz w:val="22"/>
          <w:szCs w:val="22"/>
        </w:rPr>
        <w:t xml:space="preserve">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spellStart"/>
      <w:r w:rsidRPr="00D67CE3">
        <w:rPr>
          <w:rFonts w:ascii="Calibri" w:hAnsi="Calibri" w:cs="Calibri"/>
          <w:sz w:val="22"/>
          <w:szCs w:val="22"/>
        </w:rPr>
        <w:t>Tollivoro</w:t>
      </w:r>
      <w:proofErr w:type="spellEnd"/>
      <w:r w:rsidRPr="00D67CE3">
        <w:rPr>
          <w:rFonts w:ascii="Calibri" w:hAnsi="Calibri" w:cs="Calibri"/>
          <w:sz w:val="22"/>
          <w:szCs w:val="22"/>
        </w:rPr>
        <w:t xml:space="preserve">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w:t>
      </w:r>
      <w:r w:rsidRPr="00D67CE3">
        <w:rPr>
          <w:rFonts w:ascii="Calibri" w:hAnsi="Calibri" w:cs="Calibri"/>
          <w:sz w:val="22"/>
          <w:szCs w:val="22"/>
        </w:rPr>
        <w:lastRenderedPageBreak/>
        <w:t>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104D00"/>
    <w:rsid w:val="00113C60"/>
    <w:rsid w:val="00144D58"/>
    <w:rsid w:val="00221F31"/>
    <w:rsid w:val="00301FA9"/>
    <w:rsid w:val="00310E5C"/>
    <w:rsid w:val="005604B5"/>
    <w:rsid w:val="005A0386"/>
    <w:rsid w:val="005B558E"/>
    <w:rsid w:val="00674D97"/>
    <w:rsid w:val="006A08FE"/>
    <w:rsid w:val="008D1B79"/>
    <w:rsid w:val="00952AE8"/>
    <w:rsid w:val="00AB1AE5"/>
    <w:rsid w:val="00B413D9"/>
    <w:rsid w:val="00DC4EB3"/>
    <w:rsid w:val="00E57694"/>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topics/chemical-engineering/chemisorption" TargetMode="External"/><Relationship Id="rId4" Type="http://schemas.openxmlformats.org/officeDocument/2006/relationships/hyperlink" Target="https://www.sciencedirect.com/topics/medicine-and-dentistry/multivariat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35397</Words>
  <Characters>201767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9</cp:revision>
  <dcterms:created xsi:type="dcterms:W3CDTF">2023-08-13T12:26:00Z</dcterms:created>
  <dcterms:modified xsi:type="dcterms:W3CDTF">2023-08-13T19:52:00Z</dcterms:modified>
</cp:coreProperties>
</file>