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495" w:rsidRDefault="000C0495" w:rsidP="00E77CAC">
      <w:pPr>
        <w:jc w:val="center"/>
        <w:rPr>
          <w:b/>
          <w:bCs/>
        </w:rPr>
      </w:pPr>
      <w:r w:rsidRPr="000C0495">
        <w:rPr>
          <w:b/>
          <w:bCs/>
        </w:rPr>
        <w:t>Business Analysis Report: Food Delivery Performance Insights</w:t>
      </w:r>
    </w:p>
    <w:p w:rsidR="00E77CAC" w:rsidRPr="000C0495" w:rsidRDefault="00E77CAC" w:rsidP="00E77CAC">
      <w:pPr>
        <w:jc w:val="center"/>
      </w:pPr>
    </w:p>
    <w:p w:rsidR="000C0495" w:rsidRPr="000C0495" w:rsidRDefault="000C0495" w:rsidP="000C0495">
      <w:r w:rsidRPr="000C0495">
        <w:rPr>
          <w:b/>
          <w:bCs/>
        </w:rPr>
        <w:t>1. Introduction</w:t>
      </w:r>
      <w:r w:rsidRPr="000C0495">
        <w:br/>
        <w:t xml:space="preserve">This report </w:t>
      </w:r>
      <w:r w:rsidR="00E77CAC" w:rsidRPr="000C0495">
        <w:t>analyses</w:t>
      </w:r>
      <w:r w:rsidRPr="000C0495">
        <w:t xml:space="preserve"> food delivery data to understand order trends, delivery duration variations, and the impact of different order protocols. The goal is to derive actionable insights for optimizing food delivery services and improving customer satisfaction.</w:t>
      </w:r>
    </w:p>
    <w:p w:rsidR="000C0495" w:rsidRPr="000C0495" w:rsidRDefault="00E77CAC" w:rsidP="000C0495">
      <w:r>
        <w:pict>
          <v:rect id="_x0000_i1025" style="width:0;height:1.5pt" o:hralign="center" o:hrstd="t" o:hr="t" fillcolor="#a0a0a0" stroked="f"/>
        </w:pict>
      </w:r>
    </w:p>
    <w:p w:rsidR="000C0495" w:rsidRPr="000C0495" w:rsidRDefault="000C0495" w:rsidP="000C0495">
      <w:r w:rsidRPr="000C0495">
        <w:rPr>
          <w:b/>
          <w:bCs/>
        </w:rPr>
        <w:t>2. Key Findings</w:t>
      </w:r>
    </w:p>
    <w:p w:rsidR="000C0495" w:rsidRPr="000C0495" w:rsidRDefault="000C0495" w:rsidP="000C0495">
      <w:pPr>
        <w:rPr>
          <w:b/>
          <w:bCs/>
        </w:rPr>
      </w:pPr>
      <w:r w:rsidRPr="000C0495">
        <w:rPr>
          <w:b/>
          <w:bCs/>
        </w:rPr>
        <w:t xml:space="preserve">2.1 Order Trends </w:t>
      </w:r>
      <w:r w:rsidR="00E77CAC" w:rsidRPr="000C0495">
        <w:rPr>
          <w:b/>
          <w:bCs/>
        </w:rPr>
        <w:t>over</w:t>
      </w:r>
      <w:r w:rsidRPr="000C0495">
        <w:rPr>
          <w:b/>
          <w:bCs/>
        </w:rPr>
        <w:t xml:space="preserve"> Time</w:t>
      </w:r>
    </w:p>
    <w:p w:rsidR="000C0495" w:rsidRPr="000C0495" w:rsidRDefault="000C0495" w:rsidP="000C0495">
      <w:pPr>
        <w:numPr>
          <w:ilvl w:val="0"/>
          <w:numId w:val="1"/>
        </w:numPr>
      </w:pPr>
      <w:r w:rsidRPr="000C0495">
        <w:t xml:space="preserve">The </w:t>
      </w:r>
      <w:r w:rsidRPr="000C0495">
        <w:rPr>
          <w:b/>
          <w:bCs/>
        </w:rPr>
        <w:t>highest number of orders</w:t>
      </w:r>
      <w:r w:rsidRPr="000C0495">
        <w:t xml:space="preserve"> were placed in </w:t>
      </w:r>
      <w:r w:rsidRPr="000C0495">
        <w:rPr>
          <w:b/>
          <w:bCs/>
        </w:rPr>
        <w:t>February 2015</w:t>
      </w:r>
      <w:r w:rsidRPr="000C0495">
        <w:t xml:space="preserve"> (125,852 orders).</w:t>
      </w:r>
    </w:p>
    <w:p w:rsidR="000C0495" w:rsidRPr="000C0495" w:rsidRDefault="000C0495" w:rsidP="000C0495">
      <w:pPr>
        <w:numPr>
          <w:ilvl w:val="0"/>
          <w:numId w:val="1"/>
        </w:numPr>
      </w:pPr>
      <w:r w:rsidRPr="000C0495">
        <w:t xml:space="preserve">The </w:t>
      </w:r>
      <w:r w:rsidRPr="000C0495">
        <w:rPr>
          <w:b/>
          <w:bCs/>
        </w:rPr>
        <w:t>lowest number of orders</w:t>
      </w:r>
      <w:r w:rsidRPr="000C0495">
        <w:t xml:space="preserve"> occurred in </w:t>
      </w:r>
      <w:r w:rsidRPr="000C0495">
        <w:rPr>
          <w:b/>
          <w:bCs/>
        </w:rPr>
        <w:t>October 2014</w:t>
      </w:r>
      <w:r w:rsidRPr="000C0495">
        <w:t xml:space="preserve"> (only 1 order).</w:t>
      </w:r>
    </w:p>
    <w:p w:rsidR="000C0495" w:rsidRPr="000C0495" w:rsidRDefault="000C0495" w:rsidP="000C0495">
      <w:pPr>
        <w:numPr>
          <w:ilvl w:val="0"/>
          <w:numId w:val="1"/>
        </w:numPr>
      </w:pPr>
      <w:r w:rsidRPr="000C0495">
        <w:t xml:space="preserve">This suggests possible </w:t>
      </w:r>
      <w:r w:rsidRPr="000C0495">
        <w:rPr>
          <w:b/>
          <w:bCs/>
        </w:rPr>
        <w:t>seasonality</w:t>
      </w:r>
      <w:r w:rsidRPr="000C0495">
        <w:t xml:space="preserve"> in demand, requiring adjustments in inventory and staffing.</w:t>
      </w:r>
    </w:p>
    <w:p w:rsidR="000C0495" w:rsidRPr="000C0495" w:rsidRDefault="000C0495" w:rsidP="000C0495">
      <w:pPr>
        <w:rPr>
          <w:b/>
          <w:bCs/>
        </w:rPr>
      </w:pPr>
      <w:r w:rsidRPr="000C0495">
        <w:rPr>
          <w:b/>
          <w:bCs/>
        </w:rPr>
        <w:t>Order Volume by Time Period</w:t>
      </w:r>
    </w:p>
    <w:tbl>
      <w:tblPr>
        <w:tblW w:w="0" w:type="auto"/>
        <w:tblCellSpacing w:w="15" w:type="dxa"/>
        <w:tblInd w:w="1982" w:type="dxa"/>
        <w:tblCellMar>
          <w:top w:w="15" w:type="dxa"/>
          <w:left w:w="15" w:type="dxa"/>
          <w:bottom w:w="15" w:type="dxa"/>
          <w:right w:w="15" w:type="dxa"/>
        </w:tblCellMar>
        <w:tblLook w:val="04A0" w:firstRow="1" w:lastRow="0" w:firstColumn="1" w:lastColumn="0" w:noHBand="0" w:noVBand="1"/>
      </w:tblPr>
      <w:tblGrid>
        <w:gridCol w:w="1154"/>
        <w:gridCol w:w="507"/>
        <w:gridCol w:w="1206"/>
      </w:tblGrid>
      <w:tr w:rsidR="000C0495" w:rsidRPr="000C0495" w:rsidTr="00E77CAC">
        <w:trPr>
          <w:tblHeader/>
          <w:tblCellSpacing w:w="15" w:type="dxa"/>
        </w:trPr>
        <w:tc>
          <w:tcPr>
            <w:tcW w:w="0" w:type="auto"/>
            <w:vAlign w:val="center"/>
            <w:hideMark/>
          </w:tcPr>
          <w:p w:rsidR="000C0495" w:rsidRPr="000C0495" w:rsidRDefault="000C0495" w:rsidP="000C0495">
            <w:pPr>
              <w:rPr>
                <w:b/>
                <w:bCs/>
              </w:rPr>
            </w:pPr>
            <w:r w:rsidRPr="000C0495">
              <w:rPr>
                <w:b/>
                <w:bCs/>
              </w:rPr>
              <w:t>Month</w:t>
            </w:r>
          </w:p>
        </w:tc>
        <w:tc>
          <w:tcPr>
            <w:tcW w:w="0" w:type="auto"/>
            <w:vAlign w:val="center"/>
            <w:hideMark/>
          </w:tcPr>
          <w:p w:rsidR="000C0495" w:rsidRPr="000C0495" w:rsidRDefault="000C0495" w:rsidP="000C0495">
            <w:pPr>
              <w:rPr>
                <w:b/>
                <w:bCs/>
              </w:rPr>
            </w:pPr>
            <w:r w:rsidRPr="000C0495">
              <w:rPr>
                <w:b/>
                <w:bCs/>
              </w:rPr>
              <w:t>Year</w:t>
            </w:r>
          </w:p>
        </w:tc>
        <w:tc>
          <w:tcPr>
            <w:tcW w:w="0" w:type="auto"/>
            <w:vAlign w:val="center"/>
            <w:hideMark/>
          </w:tcPr>
          <w:p w:rsidR="000C0495" w:rsidRPr="000C0495" w:rsidRDefault="000C0495" w:rsidP="000C0495">
            <w:pPr>
              <w:rPr>
                <w:b/>
                <w:bCs/>
              </w:rPr>
            </w:pPr>
            <w:r w:rsidRPr="000C0495">
              <w:rPr>
                <w:b/>
                <w:bCs/>
              </w:rPr>
              <w:t>Order Count</w:t>
            </w:r>
          </w:p>
        </w:tc>
      </w:tr>
      <w:tr w:rsidR="000C0495" w:rsidRPr="000C0495" w:rsidTr="00E77CAC">
        <w:trPr>
          <w:tblCellSpacing w:w="15" w:type="dxa"/>
        </w:trPr>
        <w:tc>
          <w:tcPr>
            <w:tcW w:w="0" w:type="auto"/>
            <w:vAlign w:val="center"/>
            <w:hideMark/>
          </w:tcPr>
          <w:p w:rsidR="000C0495" w:rsidRPr="000C0495" w:rsidRDefault="000C0495" w:rsidP="000C0495">
            <w:r w:rsidRPr="000C0495">
              <w:t>Jan</w:t>
            </w:r>
          </w:p>
        </w:tc>
        <w:tc>
          <w:tcPr>
            <w:tcW w:w="0" w:type="auto"/>
            <w:vAlign w:val="center"/>
            <w:hideMark/>
          </w:tcPr>
          <w:p w:rsidR="000C0495" w:rsidRPr="000C0495" w:rsidRDefault="000C0495" w:rsidP="000C0495">
            <w:r w:rsidRPr="000C0495">
              <w:t>2015</w:t>
            </w:r>
          </w:p>
        </w:tc>
        <w:tc>
          <w:tcPr>
            <w:tcW w:w="0" w:type="auto"/>
            <w:vAlign w:val="center"/>
            <w:hideMark/>
          </w:tcPr>
          <w:p w:rsidR="000C0495" w:rsidRPr="000C0495" w:rsidRDefault="000C0495" w:rsidP="000C0495">
            <w:r w:rsidRPr="000C0495">
              <w:t>66,815</w:t>
            </w:r>
          </w:p>
        </w:tc>
      </w:tr>
      <w:tr w:rsidR="000C0495" w:rsidRPr="000C0495" w:rsidTr="00E77CAC">
        <w:trPr>
          <w:tblCellSpacing w:w="15" w:type="dxa"/>
        </w:trPr>
        <w:tc>
          <w:tcPr>
            <w:tcW w:w="0" w:type="auto"/>
            <w:vAlign w:val="center"/>
            <w:hideMark/>
          </w:tcPr>
          <w:p w:rsidR="000C0495" w:rsidRPr="000C0495" w:rsidRDefault="000C0495" w:rsidP="000C0495">
            <w:r w:rsidRPr="000C0495">
              <w:t>Feb</w:t>
            </w:r>
          </w:p>
        </w:tc>
        <w:tc>
          <w:tcPr>
            <w:tcW w:w="0" w:type="auto"/>
            <w:vAlign w:val="center"/>
            <w:hideMark/>
          </w:tcPr>
          <w:p w:rsidR="000C0495" w:rsidRPr="000C0495" w:rsidRDefault="000C0495" w:rsidP="000C0495">
            <w:r w:rsidRPr="000C0495">
              <w:t>2015</w:t>
            </w:r>
          </w:p>
        </w:tc>
        <w:tc>
          <w:tcPr>
            <w:tcW w:w="0" w:type="auto"/>
            <w:vAlign w:val="center"/>
            <w:hideMark/>
          </w:tcPr>
          <w:p w:rsidR="000C0495" w:rsidRPr="000C0495" w:rsidRDefault="000C0495" w:rsidP="000C0495">
            <w:r w:rsidRPr="000C0495">
              <w:t>125,852</w:t>
            </w:r>
          </w:p>
        </w:tc>
      </w:tr>
      <w:tr w:rsidR="000C0495" w:rsidRPr="000C0495" w:rsidTr="00E77CAC">
        <w:trPr>
          <w:tblCellSpacing w:w="15" w:type="dxa"/>
        </w:trPr>
        <w:tc>
          <w:tcPr>
            <w:tcW w:w="0" w:type="auto"/>
            <w:vAlign w:val="center"/>
            <w:hideMark/>
          </w:tcPr>
          <w:p w:rsidR="000C0495" w:rsidRPr="000C0495" w:rsidRDefault="000C0495" w:rsidP="000C0495">
            <w:r w:rsidRPr="000C0495">
              <w:t>Oct</w:t>
            </w:r>
          </w:p>
        </w:tc>
        <w:tc>
          <w:tcPr>
            <w:tcW w:w="0" w:type="auto"/>
            <w:vAlign w:val="center"/>
            <w:hideMark/>
          </w:tcPr>
          <w:p w:rsidR="000C0495" w:rsidRPr="000C0495" w:rsidRDefault="000C0495" w:rsidP="000C0495">
            <w:r w:rsidRPr="000C0495">
              <w:t>2014</w:t>
            </w:r>
          </w:p>
        </w:tc>
        <w:tc>
          <w:tcPr>
            <w:tcW w:w="0" w:type="auto"/>
            <w:vAlign w:val="center"/>
            <w:hideMark/>
          </w:tcPr>
          <w:p w:rsidR="000C0495" w:rsidRPr="000C0495" w:rsidRDefault="000C0495" w:rsidP="000C0495">
            <w:r w:rsidRPr="000C0495">
              <w:t>1</w:t>
            </w:r>
          </w:p>
        </w:tc>
      </w:tr>
      <w:tr w:rsidR="000C0495" w:rsidRPr="000C0495" w:rsidTr="00E77CAC">
        <w:trPr>
          <w:tblCellSpacing w:w="15" w:type="dxa"/>
        </w:trPr>
        <w:tc>
          <w:tcPr>
            <w:tcW w:w="0" w:type="auto"/>
            <w:vAlign w:val="center"/>
            <w:hideMark/>
          </w:tcPr>
          <w:p w:rsidR="000C0495" w:rsidRPr="000C0495" w:rsidRDefault="000C0495" w:rsidP="000C0495">
            <w:r w:rsidRPr="000C0495">
              <w:rPr>
                <w:b/>
                <w:bCs/>
              </w:rPr>
              <w:t>Grand Total</w:t>
            </w:r>
          </w:p>
        </w:tc>
        <w:tc>
          <w:tcPr>
            <w:tcW w:w="0" w:type="auto"/>
            <w:vAlign w:val="center"/>
            <w:hideMark/>
          </w:tcPr>
          <w:p w:rsidR="000C0495" w:rsidRPr="000C0495" w:rsidRDefault="000C0495" w:rsidP="000C0495"/>
        </w:tc>
        <w:tc>
          <w:tcPr>
            <w:tcW w:w="0" w:type="auto"/>
            <w:vAlign w:val="center"/>
            <w:hideMark/>
          </w:tcPr>
          <w:p w:rsidR="000C0495" w:rsidRPr="000C0495" w:rsidRDefault="000C0495" w:rsidP="000C0495">
            <w:r w:rsidRPr="000C0495">
              <w:rPr>
                <w:b/>
                <w:bCs/>
              </w:rPr>
              <w:t>192,668</w:t>
            </w:r>
          </w:p>
        </w:tc>
      </w:tr>
    </w:tbl>
    <w:p w:rsidR="000C0495" w:rsidRPr="000C0495" w:rsidRDefault="00E77CAC" w:rsidP="000C0495">
      <w:r>
        <w:pict>
          <v:rect id="_x0000_i1026" style="width:0;height:1.5pt" o:hralign="center" o:hrstd="t" o:hr="t" fillcolor="#a0a0a0" stroked="f"/>
        </w:pict>
      </w:r>
    </w:p>
    <w:p w:rsidR="000C0495" w:rsidRPr="000C0495" w:rsidRDefault="000C0495" w:rsidP="000C0495">
      <w:pPr>
        <w:rPr>
          <w:b/>
          <w:bCs/>
        </w:rPr>
      </w:pPr>
      <w:r w:rsidRPr="000C0495">
        <w:rPr>
          <w:b/>
          <w:bCs/>
        </w:rPr>
        <w:t>2.2 Delivery Duration by Food Category</w:t>
      </w:r>
    </w:p>
    <w:p w:rsidR="000C0495" w:rsidRPr="000C0495" w:rsidRDefault="000C0495" w:rsidP="000C0495">
      <w:pPr>
        <w:numPr>
          <w:ilvl w:val="0"/>
          <w:numId w:val="2"/>
        </w:numPr>
      </w:pPr>
      <w:r w:rsidRPr="000C0495">
        <w:rPr>
          <w:b/>
          <w:bCs/>
        </w:rPr>
        <w:t>Fastest deliveries:</w:t>
      </w:r>
      <w:r w:rsidRPr="000C0495">
        <w:t xml:space="preserve"> </w:t>
      </w:r>
      <w:r w:rsidRPr="000C0495">
        <w:rPr>
          <w:b/>
          <w:bCs/>
        </w:rPr>
        <w:t>Chocolate (0.0237 avg. duration)</w:t>
      </w:r>
    </w:p>
    <w:p w:rsidR="000C0495" w:rsidRPr="000C0495" w:rsidRDefault="000C0495" w:rsidP="000C0495">
      <w:pPr>
        <w:numPr>
          <w:ilvl w:val="0"/>
          <w:numId w:val="2"/>
        </w:numPr>
      </w:pPr>
      <w:r w:rsidRPr="000C0495">
        <w:rPr>
          <w:b/>
          <w:bCs/>
        </w:rPr>
        <w:t>Slowest deliveries:</w:t>
      </w:r>
      <w:r w:rsidRPr="000C0495">
        <w:t xml:space="preserve"> </w:t>
      </w:r>
      <w:r w:rsidRPr="000C0495">
        <w:rPr>
          <w:b/>
          <w:bCs/>
        </w:rPr>
        <w:t>Italian (0.0488 avg. duration)</w:t>
      </w:r>
    </w:p>
    <w:p w:rsidR="000C0495" w:rsidRPr="000C0495" w:rsidRDefault="000C0495" w:rsidP="000C0495">
      <w:pPr>
        <w:numPr>
          <w:ilvl w:val="0"/>
          <w:numId w:val="2"/>
        </w:numPr>
      </w:pPr>
      <w:r w:rsidRPr="000C0495">
        <w:rPr>
          <w:b/>
          <w:bCs/>
        </w:rPr>
        <w:t>Possible reasons:</w:t>
      </w:r>
      <w:r w:rsidRPr="000C0495">
        <w:t xml:space="preserve"> </w:t>
      </w:r>
    </w:p>
    <w:p w:rsidR="000C0495" w:rsidRPr="000C0495" w:rsidRDefault="000C0495" w:rsidP="000C0495">
      <w:pPr>
        <w:numPr>
          <w:ilvl w:val="1"/>
          <w:numId w:val="2"/>
        </w:numPr>
      </w:pPr>
      <w:r w:rsidRPr="000C0495">
        <w:t>Chocolate requires minimal preparation.</w:t>
      </w:r>
    </w:p>
    <w:p w:rsidR="000C0495" w:rsidRPr="000C0495" w:rsidRDefault="000C0495" w:rsidP="000C0495">
      <w:pPr>
        <w:numPr>
          <w:ilvl w:val="1"/>
          <w:numId w:val="2"/>
        </w:numPr>
      </w:pPr>
      <w:r w:rsidRPr="000C0495">
        <w:t>Italian food (e.g., pizza, pasta) has longer cooking times.</w:t>
      </w:r>
    </w:p>
    <w:p w:rsidR="000C0495" w:rsidRPr="000C0495" w:rsidRDefault="000C0495" w:rsidP="000C0495">
      <w:pPr>
        <w:rPr>
          <w:b/>
          <w:bCs/>
        </w:rPr>
      </w:pPr>
      <w:r w:rsidRPr="000C0495">
        <w:rPr>
          <w:b/>
          <w:bCs/>
        </w:rPr>
        <w:t>Delivery Speed by Food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3"/>
        <w:gridCol w:w="2140"/>
      </w:tblGrid>
      <w:tr w:rsidR="000C0495" w:rsidRPr="000C0495" w:rsidTr="000C0495">
        <w:trPr>
          <w:tblHeader/>
          <w:tblCellSpacing w:w="15" w:type="dxa"/>
        </w:trPr>
        <w:tc>
          <w:tcPr>
            <w:tcW w:w="0" w:type="auto"/>
            <w:vAlign w:val="center"/>
            <w:hideMark/>
          </w:tcPr>
          <w:p w:rsidR="000C0495" w:rsidRPr="000C0495" w:rsidRDefault="000C0495" w:rsidP="000C0495">
            <w:pPr>
              <w:rPr>
                <w:b/>
                <w:bCs/>
              </w:rPr>
            </w:pPr>
            <w:r w:rsidRPr="000C0495">
              <w:rPr>
                <w:b/>
                <w:bCs/>
              </w:rPr>
              <w:t>Food Type</w:t>
            </w:r>
          </w:p>
        </w:tc>
        <w:tc>
          <w:tcPr>
            <w:tcW w:w="0" w:type="auto"/>
            <w:vAlign w:val="center"/>
            <w:hideMark/>
          </w:tcPr>
          <w:p w:rsidR="000C0495" w:rsidRPr="000C0495" w:rsidRDefault="000C0495" w:rsidP="000C0495">
            <w:pPr>
              <w:rPr>
                <w:b/>
                <w:bCs/>
              </w:rPr>
            </w:pPr>
            <w:r w:rsidRPr="000C0495">
              <w:rPr>
                <w:b/>
                <w:bCs/>
              </w:rPr>
              <w:t>Avg. Delivery Duration</w:t>
            </w:r>
          </w:p>
        </w:tc>
      </w:tr>
      <w:tr w:rsidR="000C0495" w:rsidRPr="000C0495" w:rsidTr="000C0495">
        <w:trPr>
          <w:tblCellSpacing w:w="15" w:type="dxa"/>
        </w:trPr>
        <w:tc>
          <w:tcPr>
            <w:tcW w:w="0" w:type="auto"/>
            <w:vAlign w:val="center"/>
            <w:hideMark/>
          </w:tcPr>
          <w:p w:rsidR="000C0495" w:rsidRPr="000C0495" w:rsidRDefault="000C0495" w:rsidP="000C0495">
            <w:r w:rsidRPr="000C0495">
              <w:t>Chocolate</w:t>
            </w:r>
          </w:p>
        </w:tc>
        <w:tc>
          <w:tcPr>
            <w:tcW w:w="0" w:type="auto"/>
            <w:vAlign w:val="center"/>
            <w:hideMark/>
          </w:tcPr>
          <w:p w:rsidR="000C0495" w:rsidRPr="000C0495" w:rsidRDefault="000C0495" w:rsidP="000C0495">
            <w:r w:rsidRPr="000C0495">
              <w:t>0.0237 (fastest)</w:t>
            </w:r>
          </w:p>
        </w:tc>
      </w:tr>
      <w:tr w:rsidR="000C0495" w:rsidRPr="000C0495" w:rsidTr="000C0495">
        <w:trPr>
          <w:tblCellSpacing w:w="15" w:type="dxa"/>
        </w:trPr>
        <w:tc>
          <w:tcPr>
            <w:tcW w:w="0" w:type="auto"/>
            <w:vAlign w:val="center"/>
            <w:hideMark/>
          </w:tcPr>
          <w:p w:rsidR="000C0495" w:rsidRPr="000C0495" w:rsidRDefault="000C0495" w:rsidP="000C0495">
            <w:r w:rsidRPr="000C0495">
              <w:t>Italian</w:t>
            </w:r>
          </w:p>
        </w:tc>
        <w:tc>
          <w:tcPr>
            <w:tcW w:w="0" w:type="auto"/>
            <w:vAlign w:val="center"/>
            <w:hideMark/>
          </w:tcPr>
          <w:p w:rsidR="000C0495" w:rsidRPr="000C0495" w:rsidRDefault="000C0495" w:rsidP="000C0495">
            <w:r w:rsidRPr="000C0495">
              <w:t>0.0488 (slowest)</w:t>
            </w:r>
          </w:p>
        </w:tc>
      </w:tr>
    </w:tbl>
    <w:p w:rsidR="000C0495" w:rsidRPr="000C0495" w:rsidRDefault="00E77CAC" w:rsidP="000C0495">
      <w:r>
        <w:pict>
          <v:rect id="_x0000_i1027" style="width:0;height:1.5pt" o:hralign="center" o:hrstd="t" o:hr="t" fillcolor="#a0a0a0" stroked="f"/>
        </w:pict>
      </w:r>
    </w:p>
    <w:p w:rsidR="000C0495" w:rsidRPr="000C0495" w:rsidRDefault="000C0495" w:rsidP="000C0495">
      <w:pPr>
        <w:rPr>
          <w:b/>
          <w:bCs/>
        </w:rPr>
      </w:pPr>
      <w:r w:rsidRPr="000C0495">
        <w:rPr>
          <w:b/>
          <w:bCs/>
        </w:rPr>
        <w:lastRenderedPageBreak/>
        <w:t>2.3 Impact of Order Protocol on Delivery Speed</w:t>
      </w:r>
    </w:p>
    <w:p w:rsidR="000C0495" w:rsidRPr="000C0495" w:rsidRDefault="000C0495" w:rsidP="000C0495">
      <w:pPr>
        <w:numPr>
          <w:ilvl w:val="0"/>
          <w:numId w:val="3"/>
        </w:numPr>
      </w:pPr>
      <w:r w:rsidRPr="000C0495">
        <w:rPr>
          <w:b/>
          <w:bCs/>
        </w:rPr>
        <w:t>Fastest Protocol:</w:t>
      </w:r>
      <w:r w:rsidRPr="000C0495">
        <w:t xml:space="preserve"> </w:t>
      </w:r>
      <w:r w:rsidRPr="000C0495">
        <w:rPr>
          <w:b/>
          <w:bCs/>
        </w:rPr>
        <w:t>Protocol 7 (0.0287 avg. duration)</w:t>
      </w:r>
      <w:r w:rsidRPr="000C0495">
        <w:t>, commonly used by "Other" category stores.</w:t>
      </w:r>
    </w:p>
    <w:p w:rsidR="000C0495" w:rsidRPr="000C0495" w:rsidRDefault="000C0495" w:rsidP="000C0495">
      <w:pPr>
        <w:numPr>
          <w:ilvl w:val="0"/>
          <w:numId w:val="3"/>
        </w:numPr>
      </w:pPr>
      <w:r w:rsidRPr="000C0495">
        <w:rPr>
          <w:b/>
          <w:bCs/>
        </w:rPr>
        <w:t>Slowest Protocol:</w:t>
      </w:r>
      <w:r w:rsidRPr="000C0495">
        <w:t xml:space="preserve"> </w:t>
      </w:r>
      <w:r w:rsidRPr="000C0495">
        <w:rPr>
          <w:b/>
          <w:bCs/>
        </w:rPr>
        <w:t>Protocol 6 (0.0424 avg. duration)</w:t>
      </w:r>
      <w:r w:rsidRPr="000C0495">
        <w:t xml:space="preserve">, used mostly by </w:t>
      </w:r>
      <w:r w:rsidRPr="000C0495">
        <w:rPr>
          <w:b/>
          <w:bCs/>
        </w:rPr>
        <w:t>Pizza</w:t>
      </w:r>
      <w:r w:rsidRPr="000C0495">
        <w:t xml:space="preserve"> stores.</w:t>
      </w:r>
    </w:p>
    <w:p w:rsidR="000C0495" w:rsidRPr="000C0495" w:rsidRDefault="000C0495" w:rsidP="000C0495">
      <w:pPr>
        <w:numPr>
          <w:ilvl w:val="0"/>
          <w:numId w:val="3"/>
        </w:numPr>
      </w:pPr>
      <w:r w:rsidRPr="000C0495">
        <w:t>This suggests that order protocols play a significant role in delivery efficiency.</w:t>
      </w:r>
    </w:p>
    <w:p w:rsidR="000C0495" w:rsidRPr="000C0495" w:rsidRDefault="000C0495" w:rsidP="000C0495">
      <w:pPr>
        <w:rPr>
          <w:b/>
          <w:bCs/>
        </w:rPr>
      </w:pPr>
      <w:r w:rsidRPr="000C0495">
        <w:rPr>
          <w:b/>
          <w:bCs/>
        </w:rPr>
        <w:t>Delivery Speed by Order Protocol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gridCol w:w="2140"/>
      </w:tblGrid>
      <w:tr w:rsidR="000C0495" w:rsidRPr="000C0495" w:rsidTr="000C0495">
        <w:trPr>
          <w:tblHeader/>
          <w:tblCellSpacing w:w="15" w:type="dxa"/>
        </w:trPr>
        <w:tc>
          <w:tcPr>
            <w:tcW w:w="0" w:type="auto"/>
            <w:vAlign w:val="center"/>
            <w:hideMark/>
          </w:tcPr>
          <w:p w:rsidR="000C0495" w:rsidRPr="000C0495" w:rsidRDefault="000C0495" w:rsidP="000C0495">
            <w:pPr>
              <w:rPr>
                <w:b/>
                <w:bCs/>
              </w:rPr>
            </w:pPr>
            <w:r w:rsidRPr="000C0495">
              <w:rPr>
                <w:b/>
                <w:bCs/>
              </w:rPr>
              <w:t>Protocol</w:t>
            </w:r>
          </w:p>
        </w:tc>
        <w:tc>
          <w:tcPr>
            <w:tcW w:w="0" w:type="auto"/>
            <w:vAlign w:val="center"/>
            <w:hideMark/>
          </w:tcPr>
          <w:p w:rsidR="000C0495" w:rsidRPr="000C0495" w:rsidRDefault="000C0495" w:rsidP="000C0495">
            <w:pPr>
              <w:rPr>
                <w:b/>
                <w:bCs/>
              </w:rPr>
            </w:pPr>
            <w:r w:rsidRPr="000C0495">
              <w:rPr>
                <w:b/>
                <w:bCs/>
              </w:rPr>
              <w:t>Avg. Delivery Duration</w:t>
            </w:r>
          </w:p>
        </w:tc>
      </w:tr>
      <w:tr w:rsidR="000C0495" w:rsidRPr="000C0495" w:rsidTr="000C0495">
        <w:trPr>
          <w:tblCellSpacing w:w="15" w:type="dxa"/>
        </w:trPr>
        <w:tc>
          <w:tcPr>
            <w:tcW w:w="0" w:type="auto"/>
            <w:vAlign w:val="center"/>
            <w:hideMark/>
          </w:tcPr>
          <w:p w:rsidR="000C0495" w:rsidRPr="000C0495" w:rsidRDefault="000C0495" w:rsidP="000C0495">
            <w:r w:rsidRPr="000C0495">
              <w:t>1</w:t>
            </w:r>
          </w:p>
        </w:tc>
        <w:tc>
          <w:tcPr>
            <w:tcW w:w="0" w:type="auto"/>
            <w:vAlign w:val="center"/>
            <w:hideMark/>
          </w:tcPr>
          <w:p w:rsidR="000C0495" w:rsidRPr="000C0495" w:rsidRDefault="000C0495" w:rsidP="000C0495">
            <w:r w:rsidRPr="000C0495">
              <w:t>0.0366</w:t>
            </w:r>
          </w:p>
        </w:tc>
      </w:tr>
      <w:tr w:rsidR="000C0495" w:rsidRPr="000C0495" w:rsidTr="000C0495">
        <w:trPr>
          <w:tblCellSpacing w:w="15" w:type="dxa"/>
        </w:trPr>
        <w:tc>
          <w:tcPr>
            <w:tcW w:w="0" w:type="auto"/>
            <w:vAlign w:val="center"/>
            <w:hideMark/>
          </w:tcPr>
          <w:p w:rsidR="000C0495" w:rsidRPr="000C0495" w:rsidRDefault="000C0495" w:rsidP="000C0495">
            <w:r w:rsidRPr="000C0495">
              <w:t>2</w:t>
            </w:r>
          </w:p>
        </w:tc>
        <w:tc>
          <w:tcPr>
            <w:tcW w:w="0" w:type="auto"/>
            <w:vAlign w:val="center"/>
            <w:hideMark/>
          </w:tcPr>
          <w:p w:rsidR="000C0495" w:rsidRPr="000C0495" w:rsidRDefault="000C0495" w:rsidP="000C0495">
            <w:r w:rsidRPr="000C0495">
              <w:t>0.0329</w:t>
            </w:r>
          </w:p>
        </w:tc>
      </w:tr>
      <w:tr w:rsidR="000C0495" w:rsidRPr="000C0495" w:rsidTr="000C0495">
        <w:trPr>
          <w:tblCellSpacing w:w="15" w:type="dxa"/>
        </w:trPr>
        <w:tc>
          <w:tcPr>
            <w:tcW w:w="0" w:type="auto"/>
            <w:vAlign w:val="center"/>
            <w:hideMark/>
          </w:tcPr>
          <w:p w:rsidR="000C0495" w:rsidRPr="000C0495" w:rsidRDefault="000C0495" w:rsidP="000C0495">
            <w:r w:rsidRPr="000C0495">
              <w:t>3</w:t>
            </w:r>
          </w:p>
        </w:tc>
        <w:tc>
          <w:tcPr>
            <w:tcW w:w="0" w:type="auto"/>
            <w:vAlign w:val="center"/>
            <w:hideMark/>
          </w:tcPr>
          <w:p w:rsidR="000C0495" w:rsidRPr="000C0495" w:rsidRDefault="000C0495" w:rsidP="000C0495">
            <w:r w:rsidRPr="000C0495">
              <w:t>0.0326</w:t>
            </w:r>
          </w:p>
        </w:tc>
      </w:tr>
      <w:tr w:rsidR="000C0495" w:rsidRPr="000C0495" w:rsidTr="000C0495">
        <w:trPr>
          <w:tblCellSpacing w:w="15" w:type="dxa"/>
        </w:trPr>
        <w:tc>
          <w:tcPr>
            <w:tcW w:w="0" w:type="auto"/>
            <w:vAlign w:val="center"/>
            <w:hideMark/>
          </w:tcPr>
          <w:p w:rsidR="000C0495" w:rsidRPr="000C0495" w:rsidRDefault="000C0495" w:rsidP="000C0495">
            <w:r w:rsidRPr="000C0495">
              <w:t>4</w:t>
            </w:r>
          </w:p>
        </w:tc>
        <w:tc>
          <w:tcPr>
            <w:tcW w:w="0" w:type="auto"/>
            <w:vAlign w:val="center"/>
            <w:hideMark/>
          </w:tcPr>
          <w:p w:rsidR="000C0495" w:rsidRPr="000C0495" w:rsidRDefault="000C0495" w:rsidP="000C0495">
            <w:r w:rsidRPr="000C0495">
              <w:t>0.0336</w:t>
            </w:r>
          </w:p>
        </w:tc>
      </w:tr>
      <w:tr w:rsidR="000C0495" w:rsidRPr="000C0495" w:rsidTr="000C0495">
        <w:trPr>
          <w:tblCellSpacing w:w="15" w:type="dxa"/>
        </w:trPr>
        <w:tc>
          <w:tcPr>
            <w:tcW w:w="0" w:type="auto"/>
            <w:vAlign w:val="center"/>
            <w:hideMark/>
          </w:tcPr>
          <w:p w:rsidR="000C0495" w:rsidRPr="000C0495" w:rsidRDefault="000C0495" w:rsidP="000C0495">
            <w:r w:rsidRPr="000C0495">
              <w:t>5</w:t>
            </w:r>
          </w:p>
        </w:tc>
        <w:tc>
          <w:tcPr>
            <w:tcW w:w="0" w:type="auto"/>
            <w:vAlign w:val="center"/>
            <w:hideMark/>
          </w:tcPr>
          <w:p w:rsidR="000C0495" w:rsidRPr="000C0495" w:rsidRDefault="000C0495" w:rsidP="000C0495">
            <w:r w:rsidRPr="000C0495">
              <w:t>0.0318</w:t>
            </w:r>
          </w:p>
        </w:tc>
      </w:tr>
      <w:tr w:rsidR="000C0495" w:rsidRPr="000C0495" w:rsidTr="000C0495">
        <w:trPr>
          <w:tblCellSpacing w:w="15" w:type="dxa"/>
        </w:trPr>
        <w:tc>
          <w:tcPr>
            <w:tcW w:w="0" w:type="auto"/>
            <w:vAlign w:val="center"/>
            <w:hideMark/>
          </w:tcPr>
          <w:p w:rsidR="000C0495" w:rsidRPr="000C0495" w:rsidRDefault="000C0495" w:rsidP="000C0495">
            <w:r w:rsidRPr="000C0495">
              <w:t>6</w:t>
            </w:r>
          </w:p>
        </w:tc>
        <w:tc>
          <w:tcPr>
            <w:tcW w:w="0" w:type="auto"/>
            <w:vAlign w:val="center"/>
            <w:hideMark/>
          </w:tcPr>
          <w:p w:rsidR="000C0495" w:rsidRPr="000C0495" w:rsidRDefault="000C0495" w:rsidP="000C0495">
            <w:r w:rsidRPr="000C0495">
              <w:t>0.0424 (slowest)</w:t>
            </w:r>
          </w:p>
        </w:tc>
      </w:tr>
      <w:tr w:rsidR="000C0495" w:rsidRPr="000C0495" w:rsidTr="000C0495">
        <w:trPr>
          <w:tblCellSpacing w:w="15" w:type="dxa"/>
        </w:trPr>
        <w:tc>
          <w:tcPr>
            <w:tcW w:w="0" w:type="auto"/>
            <w:vAlign w:val="center"/>
            <w:hideMark/>
          </w:tcPr>
          <w:p w:rsidR="000C0495" w:rsidRPr="000C0495" w:rsidRDefault="000C0495" w:rsidP="000C0495">
            <w:r w:rsidRPr="000C0495">
              <w:t>7</w:t>
            </w:r>
          </w:p>
        </w:tc>
        <w:tc>
          <w:tcPr>
            <w:tcW w:w="0" w:type="auto"/>
            <w:vAlign w:val="center"/>
            <w:hideMark/>
          </w:tcPr>
          <w:p w:rsidR="000C0495" w:rsidRPr="000C0495" w:rsidRDefault="000C0495" w:rsidP="000C0495">
            <w:r w:rsidRPr="000C0495">
              <w:t>0.0287 (fastest)</w:t>
            </w:r>
          </w:p>
        </w:tc>
      </w:tr>
    </w:tbl>
    <w:p w:rsidR="000C0495" w:rsidRPr="000C0495" w:rsidRDefault="00E77CAC" w:rsidP="000C0495">
      <w:r>
        <w:pict>
          <v:rect id="_x0000_i1028" style="width:0;height:1.5pt" o:hralign="center" o:hrstd="t" o:hr="t" fillcolor="#a0a0a0" stroked="f"/>
        </w:pict>
      </w:r>
    </w:p>
    <w:p w:rsidR="000C0495" w:rsidRPr="000C0495" w:rsidRDefault="000C0495" w:rsidP="000C0495">
      <w:pPr>
        <w:rPr>
          <w:b/>
          <w:bCs/>
        </w:rPr>
      </w:pPr>
      <w:r w:rsidRPr="000C0495">
        <w:rPr>
          <w:b/>
          <w:bCs/>
        </w:rPr>
        <w:t>2.4 Store Count Distribution by Protocol</w:t>
      </w:r>
    </w:p>
    <w:p w:rsidR="000C0495" w:rsidRPr="000C0495" w:rsidRDefault="000C0495" w:rsidP="000C0495">
      <w:pPr>
        <w:numPr>
          <w:ilvl w:val="0"/>
          <w:numId w:val="4"/>
        </w:numPr>
      </w:pPr>
      <w:r w:rsidRPr="000C0495">
        <w:rPr>
          <w:b/>
          <w:bCs/>
        </w:rPr>
        <w:t>Most stores use Protocol 1 (52,499 stores).</w:t>
      </w:r>
    </w:p>
    <w:p w:rsidR="000C0495" w:rsidRPr="000C0495" w:rsidRDefault="000C0495" w:rsidP="000C0495">
      <w:pPr>
        <w:numPr>
          <w:ilvl w:val="0"/>
          <w:numId w:val="4"/>
        </w:numPr>
      </w:pPr>
      <w:r w:rsidRPr="000C0495">
        <w:rPr>
          <w:b/>
          <w:bCs/>
        </w:rPr>
        <w:t>Pizza stores dominate Protocol 6 (254 stores), leading to slower deliveries.</w:t>
      </w:r>
    </w:p>
    <w:p w:rsidR="000C0495" w:rsidRPr="000C0495" w:rsidRDefault="000C0495" w:rsidP="000C0495">
      <w:pPr>
        <w:rPr>
          <w:b/>
          <w:bCs/>
        </w:rPr>
      </w:pPr>
      <w:r w:rsidRPr="000C0495">
        <w:rPr>
          <w:b/>
          <w:bCs/>
        </w:rPr>
        <w:t>Store Count by Protocol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gridCol w:w="1160"/>
      </w:tblGrid>
      <w:tr w:rsidR="000C0495" w:rsidRPr="000C0495" w:rsidTr="000C0495">
        <w:trPr>
          <w:tblHeader/>
          <w:tblCellSpacing w:w="15" w:type="dxa"/>
        </w:trPr>
        <w:tc>
          <w:tcPr>
            <w:tcW w:w="0" w:type="auto"/>
            <w:vAlign w:val="center"/>
            <w:hideMark/>
          </w:tcPr>
          <w:p w:rsidR="000C0495" w:rsidRPr="000C0495" w:rsidRDefault="000C0495" w:rsidP="000C0495">
            <w:pPr>
              <w:rPr>
                <w:b/>
                <w:bCs/>
              </w:rPr>
            </w:pPr>
            <w:r w:rsidRPr="000C0495">
              <w:rPr>
                <w:b/>
                <w:bCs/>
              </w:rPr>
              <w:t>Protocol</w:t>
            </w:r>
          </w:p>
        </w:tc>
        <w:tc>
          <w:tcPr>
            <w:tcW w:w="0" w:type="auto"/>
            <w:vAlign w:val="center"/>
            <w:hideMark/>
          </w:tcPr>
          <w:p w:rsidR="000C0495" w:rsidRPr="000C0495" w:rsidRDefault="000C0495" w:rsidP="000C0495">
            <w:pPr>
              <w:rPr>
                <w:b/>
                <w:bCs/>
              </w:rPr>
            </w:pPr>
            <w:r w:rsidRPr="000C0495">
              <w:rPr>
                <w:b/>
                <w:bCs/>
              </w:rPr>
              <w:t>Store Count</w:t>
            </w:r>
          </w:p>
        </w:tc>
      </w:tr>
      <w:tr w:rsidR="000C0495" w:rsidRPr="000C0495" w:rsidTr="000C0495">
        <w:trPr>
          <w:tblCellSpacing w:w="15" w:type="dxa"/>
        </w:trPr>
        <w:tc>
          <w:tcPr>
            <w:tcW w:w="0" w:type="auto"/>
            <w:vAlign w:val="center"/>
            <w:hideMark/>
          </w:tcPr>
          <w:p w:rsidR="000C0495" w:rsidRPr="000C0495" w:rsidRDefault="000C0495" w:rsidP="000C0495">
            <w:r w:rsidRPr="000C0495">
              <w:t>1</w:t>
            </w:r>
          </w:p>
        </w:tc>
        <w:tc>
          <w:tcPr>
            <w:tcW w:w="0" w:type="auto"/>
            <w:vAlign w:val="center"/>
            <w:hideMark/>
          </w:tcPr>
          <w:p w:rsidR="000C0495" w:rsidRPr="000C0495" w:rsidRDefault="000C0495" w:rsidP="000C0495">
            <w:r w:rsidRPr="000C0495">
              <w:t>52,499</w:t>
            </w:r>
          </w:p>
        </w:tc>
      </w:tr>
      <w:tr w:rsidR="000C0495" w:rsidRPr="000C0495" w:rsidTr="000C0495">
        <w:trPr>
          <w:tblCellSpacing w:w="15" w:type="dxa"/>
        </w:trPr>
        <w:tc>
          <w:tcPr>
            <w:tcW w:w="0" w:type="auto"/>
            <w:vAlign w:val="center"/>
            <w:hideMark/>
          </w:tcPr>
          <w:p w:rsidR="000C0495" w:rsidRPr="000C0495" w:rsidRDefault="000C0495" w:rsidP="000C0495">
            <w:r w:rsidRPr="000C0495">
              <w:t>2</w:t>
            </w:r>
          </w:p>
        </w:tc>
        <w:tc>
          <w:tcPr>
            <w:tcW w:w="0" w:type="auto"/>
            <w:vAlign w:val="center"/>
            <w:hideMark/>
          </w:tcPr>
          <w:p w:rsidR="000C0495" w:rsidRPr="000C0495" w:rsidRDefault="000C0495" w:rsidP="000C0495">
            <w:r w:rsidRPr="000C0495">
              <w:t>23,675</w:t>
            </w:r>
          </w:p>
        </w:tc>
      </w:tr>
      <w:tr w:rsidR="000C0495" w:rsidRPr="000C0495" w:rsidTr="000C0495">
        <w:trPr>
          <w:tblCellSpacing w:w="15" w:type="dxa"/>
        </w:trPr>
        <w:tc>
          <w:tcPr>
            <w:tcW w:w="0" w:type="auto"/>
            <w:vAlign w:val="center"/>
            <w:hideMark/>
          </w:tcPr>
          <w:p w:rsidR="000C0495" w:rsidRPr="000C0495" w:rsidRDefault="000C0495" w:rsidP="000C0495">
            <w:r w:rsidRPr="000C0495">
              <w:t>3</w:t>
            </w:r>
          </w:p>
        </w:tc>
        <w:tc>
          <w:tcPr>
            <w:tcW w:w="0" w:type="auto"/>
            <w:vAlign w:val="center"/>
            <w:hideMark/>
          </w:tcPr>
          <w:p w:rsidR="000C0495" w:rsidRPr="000C0495" w:rsidRDefault="000C0495" w:rsidP="000C0495">
            <w:r w:rsidRPr="000C0495">
              <w:t>52,391</w:t>
            </w:r>
          </w:p>
        </w:tc>
      </w:tr>
      <w:tr w:rsidR="000C0495" w:rsidRPr="000C0495" w:rsidTr="000C0495">
        <w:trPr>
          <w:tblCellSpacing w:w="15" w:type="dxa"/>
        </w:trPr>
        <w:tc>
          <w:tcPr>
            <w:tcW w:w="0" w:type="auto"/>
            <w:vAlign w:val="center"/>
            <w:hideMark/>
          </w:tcPr>
          <w:p w:rsidR="000C0495" w:rsidRPr="000C0495" w:rsidRDefault="000C0495" w:rsidP="000C0495">
            <w:r w:rsidRPr="000C0495">
              <w:t>4</w:t>
            </w:r>
          </w:p>
        </w:tc>
        <w:tc>
          <w:tcPr>
            <w:tcW w:w="0" w:type="auto"/>
            <w:vAlign w:val="center"/>
            <w:hideMark/>
          </w:tcPr>
          <w:p w:rsidR="000C0495" w:rsidRPr="000C0495" w:rsidRDefault="000C0495" w:rsidP="000C0495">
            <w:r w:rsidRPr="000C0495">
              <w:t>19,002</w:t>
            </w:r>
          </w:p>
        </w:tc>
      </w:tr>
      <w:tr w:rsidR="000C0495" w:rsidRPr="000C0495" w:rsidTr="000C0495">
        <w:trPr>
          <w:tblCellSpacing w:w="15" w:type="dxa"/>
        </w:trPr>
        <w:tc>
          <w:tcPr>
            <w:tcW w:w="0" w:type="auto"/>
            <w:vAlign w:val="center"/>
            <w:hideMark/>
          </w:tcPr>
          <w:p w:rsidR="000C0495" w:rsidRPr="000C0495" w:rsidRDefault="000C0495" w:rsidP="000C0495">
            <w:r w:rsidRPr="000C0495">
              <w:t>5</w:t>
            </w:r>
          </w:p>
        </w:tc>
        <w:tc>
          <w:tcPr>
            <w:tcW w:w="0" w:type="auto"/>
            <w:vAlign w:val="center"/>
            <w:hideMark/>
          </w:tcPr>
          <w:p w:rsidR="000C0495" w:rsidRPr="000C0495" w:rsidRDefault="000C0495" w:rsidP="000C0495">
            <w:r w:rsidRPr="000C0495">
              <w:t>43,795</w:t>
            </w:r>
          </w:p>
        </w:tc>
      </w:tr>
      <w:tr w:rsidR="000C0495" w:rsidRPr="000C0495" w:rsidTr="000C0495">
        <w:trPr>
          <w:tblCellSpacing w:w="15" w:type="dxa"/>
        </w:trPr>
        <w:tc>
          <w:tcPr>
            <w:tcW w:w="0" w:type="auto"/>
            <w:vAlign w:val="center"/>
            <w:hideMark/>
          </w:tcPr>
          <w:p w:rsidR="000C0495" w:rsidRPr="000C0495" w:rsidRDefault="000C0495" w:rsidP="000C0495">
            <w:r w:rsidRPr="000C0495">
              <w:t>6</w:t>
            </w:r>
          </w:p>
        </w:tc>
        <w:tc>
          <w:tcPr>
            <w:tcW w:w="0" w:type="auto"/>
            <w:vAlign w:val="center"/>
            <w:hideMark/>
          </w:tcPr>
          <w:p w:rsidR="000C0495" w:rsidRPr="000C0495" w:rsidRDefault="000C0495" w:rsidP="000C0495">
            <w:r w:rsidRPr="000C0495">
              <w:t>792</w:t>
            </w:r>
          </w:p>
        </w:tc>
      </w:tr>
      <w:tr w:rsidR="000C0495" w:rsidRPr="000C0495" w:rsidTr="000C0495">
        <w:trPr>
          <w:tblCellSpacing w:w="15" w:type="dxa"/>
        </w:trPr>
        <w:tc>
          <w:tcPr>
            <w:tcW w:w="0" w:type="auto"/>
            <w:vAlign w:val="center"/>
            <w:hideMark/>
          </w:tcPr>
          <w:p w:rsidR="000C0495" w:rsidRPr="000C0495" w:rsidRDefault="000C0495" w:rsidP="000C0495">
            <w:r w:rsidRPr="000C0495">
              <w:t>7</w:t>
            </w:r>
          </w:p>
        </w:tc>
        <w:tc>
          <w:tcPr>
            <w:tcW w:w="0" w:type="auto"/>
            <w:vAlign w:val="center"/>
            <w:hideMark/>
          </w:tcPr>
          <w:p w:rsidR="000C0495" w:rsidRPr="000C0495" w:rsidRDefault="000C0495" w:rsidP="000C0495">
            <w:r w:rsidRPr="000C0495">
              <w:t>19</w:t>
            </w:r>
          </w:p>
        </w:tc>
      </w:tr>
      <w:tr w:rsidR="000C0495" w:rsidRPr="000C0495" w:rsidTr="000C0495">
        <w:trPr>
          <w:tblCellSpacing w:w="15" w:type="dxa"/>
        </w:trPr>
        <w:tc>
          <w:tcPr>
            <w:tcW w:w="0" w:type="auto"/>
            <w:vAlign w:val="center"/>
            <w:hideMark/>
          </w:tcPr>
          <w:p w:rsidR="000C0495" w:rsidRPr="000C0495" w:rsidRDefault="000C0495" w:rsidP="000C0495">
            <w:r w:rsidRPr="000C0495">
              <w:rPr>
                <w:b/>
                <w:bCs/>
              </w:rPr>
              <w:t>Total</w:t>
            </w:r>
          </w:p>
        </w:tc>
        <w:tc>
          <w:tcPr>
            <w:tcW w:w="0" w:type="auto"/>
            <w:vAlign w:val="center"/>
            <w:hideMark/>
          </w:tcPr>
          <w:p w:rsidR="000C0495" w:rsidRPr="000C0495" w:rsidRDefault="000C0495" w:rsidP="000C0495">
            <w:r w:rsidRPr="000C0495">
              <w:rPr>
                <w:b/>
                <w:bCs/>
              </w:rPr>
              <w:t>192,173</w:t>
            </w:r>
          </w:p>
        </w:tc>
      </w:tr>
    </w:tbl>
    <w:p w:rsidR="000C0495" w:rsidRPr="000C0495" w:rsidRDefault="00E77CAC" w:rsidP="000C0495">
      <w:r>
        <w:pict>
          <v:rect id="_x0000_i1029" style="width:0;height:1.5pt" o:hralign="center" o:hrstd="t" o:hr="t" fillcolor="#a0a0a0" stroked="f"/>
        </w:pict>
      </w:r>
    </w:p>
    <w:p w:rsidR="000C0495" w:rsidRPr="000C0495" w:rsidRDefault="000C0495" w:rsidP="000C0495">
      <w:r w:rsidRPr="000C0495">
        <w:rPr>
          <w:b/>
          <w:bCs/>
        </w:rPr>
        <w:lastRenderedPageBreak/>
        <w:t>3. Business Recommendations</w:t>
      </w:r>
    </w:p>
    <w:p w:rsidR="000C0495" w:rsidRPr="000C0495" w:rsidRDefault="000C0495" w:rsidP="000C0495">
      <w:pPr>
        <w:numPr>
          <w:ilvl w:val="0"/>
          <w:numId w:val="5"/>
        </w:numPr>
      </w:pPr>
      <w:r w:rsidRPr="000C0495">
        <w:rPr>
          <w:b/>
          <w:bCs/>
        </w:rPr>
        <w:t>Optimize Protocols:</w:t>
      </w:r>
      <w:r w:rsidRPr="000C0495">
        <w:t xml:space="preserve"> Investigate why Protocol 6 leads to slower deliveries and explore switching pizza stores to a more efficient protocol.</w:t>
      </w:r>
    </w:p>
    <w:p w:rsidR="000C0495" w:rsidRPr="000C0495" w:rsidRDefault="000C0495" w:rsidP="000C0495">
      <w:pPr>
        <w:numPr>
          <w:ilvl w:val="0"/>
          <w:numId w:val="5"/>
        </w:numPr>
      </w:pPr>
      <w:r w:rsidRPr="000C0495">
        <w:rPr>
          <w:b/>
          <w:bCs/>
        </w:rPr>
        <w:t>Prepare for Seasonal Demand:</w:t>
      </w:r>
      <w:r w:rsidRPr="000C0495">
        <w:t xml:space="preserve"> Since February experiences high demand, businesses should adjust inventory and workforce accordingly.</w:t>
      </w:r>
    </w:p>
    <w:p w:rsidR="000C0495" w:rsidRDefault="000C0495" w:rsidP="000C0495">
      <w:pPr>
        <w:numPr>
          <w:ilvl w:val="0"/>
          <w:numId w:val="5"/>
        </w:numPr>
      </w:pPr>
      <w:r w:rsidRPr="000C0495">
        <w:rPr>
          <w:b/>
          <w:bCs/>
        </w:rPr>
        <w:t>Improve Delivery for Italian Cuisine:</w:t>
      </w:r>
      <w:r w:rsidRPr="000C0495">
        <w:t xml:space="preserve"> Streamline pizza and pasta preparation processes to reduce delivery delays.</w:t>
      </w:r>
    </w:p>
    <w:p w:rsidR="00E77CAC" w:rsidRPr="000C0495" w:rsidRDefault="00E77CAC" w:rsidP="00E77CAC">
      <w:pPr>
        <w:ind w:left="720"/>
      </w:pPr>
      <w:bookmarkStart w:id="0" w:name="_GoBack"/>
      <w:bookmarkEnd w:id="0"/>
    </w:p>
    <w:p w:rsidR="000C0495" w:rsidRPr="000C0495" w:rsidRDefault="000C0495" w:rsidP="000C0495">
      <w:r w:rsidRPr="000C0495">
        <w:rPr>
          <w:b/>
          <w:bCs/>
        </w:rPr>
        <w:t>4. Conclusion</w:t>
      </w:r>
      <w:r w:rsidRPr="000C0495">
        <w:br/>
        <w:t>This analysis highlights the importance of efficient order protocols, demand seasonality, and category-specific delivery challenges. By implementing the recommendations, food delivery platforms can enhance operational efficiency and customer satisfaction.</w:t>
      </w:r>
    </w:p>
    <w:p w:rsidR="00435D94" w:rsidRDefault="00435D94"/>
    <w:sectPr w:rsidR="00435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B12DC"/>
    <w:multiLevelType w:val="multilevel"/>
    <w:tmpl w:val="72188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44E40"/>
    <w:multiLevelType w:val="multilevel"/>
    <w:tmpl w:val="6218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621DB4"/>
    <w:multiLevelType w:val="multilevel"/>
    <w:tmpl w:val="5828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940DC0"/>
    <w:multiLevelType w:val="multilevel"/>
    <w:tmpl w:val="45D0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0C339F"/>
    <w:multiLevelType w:val="multilevel"/>
    <w:tmpl w:val="30C2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9CC"/>
    <w:rsid w:val="000C0495"/>
    <w:rsid w:val="00435D94"/>
    <w:rsid w:val="00A639CC"/>
    <w:rsid w:val="00E77C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FC36E"/>
  <w15:chartTrackingRefBased/>
  <w15:docId w15:val="{FCE82CCB-B4DC-4AE6-8D58-2B6FAF95D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47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2025-02-17T15:49:00Z</dcterms:created>
  <dcterms:modified xsi:type="dcterms:W3CDTF">2025-02-17T15:51:00Z</dcterms:modified>
</cp:coreProperties>
</file>