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844" w:rsidRPr="005F2844" w:rsidRDefault="005F2844" w:rsidP="005F2844">
      <w:pPr>
        <w:spacing w:line="276" w:lineRule="auto"/>
        <w:rPr>
          <w:b/>
          <w:bCs/>
        </w:rPr>
      </w:pPr>
      <w:r w:rsidRPr="005F2844">
        <w:rPr>
          <w:b/>
          <w:bCs/>
        </w:rPr>
        <w:t>Introduction</w:t>
      </w:r>
    </w:p>
    <w:p w:rsidR="005F2844" w:rsidRPr="005F2844" w:rsidRDefault="005F2844" w:rsidP="005F2844">
      <w:pPr>
        <w:spacing w:line="276" w:lineRule="auto"/>
      </w:pPr>
      <w:r w:rsidRPr="005F2844">
        <w:t>This report analyses supermarket sales data to gain insights into sales performance across different product lines, regions, customer types, payment methods, and other important metrics. The report highlights key findings such as top-selling products, sales trends, and profitability, which can guide business decisions.</w:t>
      </w:r>
    </w:p>
    <w:p w:rsidR="005F2844" w:rsidRPr="005F2844" w:rsidRDefault="005F2844" w:rsidP="005F2844">
      <w:pPr>
        <w:spacing w:line="276" w:lineRule="auto"/>
      </w:pPr>
      <w:r w:rsidRPr="005F2844">
        <w:pict>
          <v:rect id="_x0000_i1025" style="width:0;height:1.5pt" o:hralign="center" o:hrstd="t" o:hr="t" fillcolor="#a0a0a0" stroked="f"/>
        </w:pict>
      </w:r>
    </w:p>
    <w:p w:rsidR="005F2844" w:rsidRPr="005F2844" w:rsidRDefault="005F2844" w:rsidP="005F2844">
      <w:pPr>
        <w:spacing w:line="276" w:lineRule="auto"/>
        <w:rPr>
          <w:b/>
          <w:bCs/>
        </w:rPr>
      </w:pPr>
      <w:r w:rsidRPr="005F2844">
        <w:rPr>
          <w:b/>
          <w:bCs/>
        </w:rPr>
        <w:t>Key Findings</w:t>
      </w:r>
    </w:p>
    <w:p w:rsidR="005F2844" w:rsidRPr="005F2844" w:rsidRDefault="005F2844" w:rsidP="005F2844">
      <w:pPr>
        <w:spacing w:line="276" w:lineRule="auto"/>
        <w:rPr>
          <w:b/>
          <w:bCs/>
        </w:rPr>
      </w:pPr>
      <w:r w:rsidRPr="005F2844">
        <w:rPr>
          <w:b/>
          <w:bCs/>
        </w:rPr>
        <w:t>1. Top-Selling Products</w:t>
      </w:r>
    </w:p>
    <w:p w:rsidR="005F2844" w:rsidRPr="005F2844" w:rsidRDefault="005F2844" w:rsidP="005F2844">
      <w:pPr>
        <w:numPr>
          <w:ilvl w:val="0"/>
          <w:numId w:val="1"/>
        </w:numPr>
        <w:spacing w:line="276" w:lineRule="auto"/>
      </w:pPr>
      <w:r w:rsidRPr="005F2844">
        <w:rPr>
          <w:b/>
          <w:bCs/>
        </w:rPr>
        <w:t>Insight</w:t>
      </w:r>
      <w:r w:rsidRPr="005F2844">
        <w:t xml:space="preserve">: The top-selling product category is </w:t>
      </w:r>
      <w:r w:rsidRPr="005F2844">
        <w:rPr>
          <w:b/>
          <w:bCs/>
        </w:rPr>
        <w:t>Electronic accessories</w:t>
      </w:r>
      <w:r w:rsidRPr="005F2844">
        <w:t xml:space="preserve"> with a total quantity of </w:t>
      </w:r>
      <w:r w:rsidRPr="005F2844">
        <w:rPr>
          <w:b/>
          <w:bCs/>
        </w:rPr>
        <w:t>971</w:t>
      </w:r>
      <w:r w:rsidRPr="005F2844">
        <w:t xml:space="preserve">, followed by </w:t>
      </w:r>
      <w:r w:rsidRPr="005F2844">
        <w:rPr>
          <w:b/>
          <w:bCs/>
        </w:rPr>
        <w:t>Fashion accessories</w:t>
      </w:r>
      <w:r w:rsidRPr="005F2844">
        <w:t xml:space="preserve"> (902) and </w:t>
      </w:r>
      <w:r w:rsidRPr="005F2844">
        <w:rPr>
          <w:b/>
          <w:bCs/>
        </w:rPr>
        <w:t>Food and beverages</w:t>
      </w:r>
      <w:r w:rsidRPr="005F2844">
        <w:t xml:space="preserve"> (952).</w:t>
      </w:r>
    </w:p>
    <w:p w:rsidR="005F2844" w:rsidRPr="005F2844" w:rsidRDefault="005F2844" w:rsidP="005F2844">
      <w:pPr>
        <w:numPr>
          <w:ilvl w:val="0"/>
          <w:numId w:val="1"/>
        </w:numPr>
        <w:spacing w:line="276" w:lineRule="auto"/>
      </w:pPr>
      <w:r w:rsidRPr="005F2844">
        <w:rPr>
          <w:b/>
          <w:bCs/>
        </w:rPr>
        <w:t>Visual</w:t>
      </w:r>
      <w:r w:rsidRPr="005F2844">
        <w:t>: Include a bar chart from Power BI showing the total quantity sold for each product line.</w:t>
      </w:r>
    </w:p>
    <w:p w:rsidR="005F2844" w:rsidRPr="005F2844" w:rsidRDefault="005F2844" w:rsidP="005F2844">
      <w:pPr>
        <w:spacing w:line="276" w:lineRule="auto"/>
        <w:rPr>
          <w:b/>
          <w:bCs/>
        </w:rPr>
      </w:pPr>
      <w:r w:rsidRPr="005F2844">
        <w:rPr>
          <w:b/>
          <w:bCs/>
        </w:rPr>
        <w:t>2. Sales by Region</w:t>
      </w:r>
    </w:p>
    <w:p w:rsidR="005F2844" w:rsidRPr="005F2844" w:rsidRDefault="005F2844" w:rsidP="005F2844">
      <w:pPr>
        <w:numPr>
          <w:ilvl w:val="0"/>
          <w:numId w:val="2"/>
        </w:numPr>
        <w:spacing w:line="276" w:lineRule="auto"/>
      </w:pPr>
      <w:r w:rsidRPr="005F2844">
        <w:rPr>
          <w:b/>
          <w:bCs/>
        </w:rPr>
        <w:t>Insight</w:t>
      </w:r>
      <w:r w:rsidRPr="005F2844">
        <w:t xml:space="preserve">: Sales are almost equally distributed across regions, with </w:t>
      </w:r>
      <w:proofErr w:type="spellStart"/>
      <w:r w:rsidRPr="005F2844">
        <w:rPr>
          <w:b/>
          <w:bCs/>
        </w:rPr>
        <w:t>Naypyitaw</w:t>
      </w:r>
      <w:proofErr w:type="spellEnd"/>
      <w:r w:rsidRPr="005F2844">
        <w:t xml:space="preserve"> leading with </w:t>
      </w:r>
      <w:r w:rsidRPr="005F2844">
        <w:rPr>
          <w:b/>
          <w:bCs/>
        </w:rPr>
        <w:t>110,568.71</w:t>
      </w:r>
      <w:r w:rsidRPr="005F2844">
        <w:t xml:space="preserve">, followed closely by </w:t>
      </w:r>
      <w:r w:rsidRPr="005F2844">
        <w:rPr>
          <w:b/>
          <w:bCs/>
        </w:rPr>
        <w:t>Yangon</w:t>
      </w:r>
      <w:r w:rsidRPr="005F2844">
        <w:t xml:space="preserve"> and </w:t>
      </w:r>
      <w:r w:rsidRPr="005F2844">
        <w:rPr>
          <w:b/>
          <w:bCs/>
        </w:rPr>
        <w:t>Mandalay</w:t>
      </w:r>
      <w:r w:rsidRPr="005F2844">
        <w:t>.</w:t>
      </w:r>
    </w:p>
    <w:p w:rsidR="005F2844" w:rsidRPr="005F2844" w:rsidRDefault="005F2844" w:rsidP="005F2844">
      <w:pPr>
        <w:numPr>
          <w:ilvl w:val="0"/>
          <w:numId w:val="2"/>
        </w:numPr>
        <w:spacing w:line="276" w:lineRule="auto"/>
      </w:pPr>
      <w:r w:rsidRPr="005F2844">
        <w:rPr>
          <w:b/>
          <w:bCs/>
        </w:rPr>
        <w:t>Visual</w:t>
      </w:r>
      <w:r w:rsidRPr="005F2844">
        <w:t>: Include a map or bar chart to show total sales by region.</w:t>
      </w:r>
    </w:p>
    <w:p w:rsidR="005F2844" w:rsidRPr="005F2844" w:rsidRDefault="005F2844" w:rsidP="005F2844">
      <w:pPr>
        <w:spacing w:line="276" w:lineRule="auto"/>
        <w:rPr>
          <w:b/>
          <w:bCs/>
        </w:rPr>
      </w:pPr>
      <w:r w:rsidRPr="005F2844">
        <w:rPr>
          <w:b/>
          <w:bCs/>
        </w:rPr>
        <w:t>3. Monthly Sales Trend</w:t>
      </w:r>
    </w:p>
    <w:p w:rsidR="005F2844" w:rsidRPr="005F2844" w:rsidRDefault="005F2844" w:rsidP="005F2844">
      <w:pPr>
        <w:numPr>
          <w:ilvl w:val="0"/>
          <w:numId w:val="3"/>
        </w:numPr>
        <w:spacing w:line="276" w:lineRule="auto"/>
      </w:pPr>
      <w:r w:rsidRPr="005F2844">
        <w:rPr>
          <w:b/>
          <w:bCs/>
        </w:rPr>
        <w:t>Insight</w:t>
      </w:r>
      <w:r w:rsidRPr="005F2844">
        <w:t xml:space="preserve">: Sales peaked in </w:t>
      </w:r>
      <w:r w:rsidRPr="005F2844">
        <w:rPr>
          <w:b/>
          <w:bCs/>
        </w:rPr>
        <w:t>January</w:t>
      </w:r>
      <w:r w:rsidRPr="005F2844">
        <w:t xml:space="preserve"> with a total of </w:t>
      </w:r>
      <w:r w:rsidRPr="005F2844">
        <w:rPr>
          <w:b/>
          <w:bCs/>
        </w:rPr>
        <w:t>95,436.24</w:t>
      </w:r>
      <w:r w:rsidRPr="005F2844">
        <w:t xml:space="preserve">, followed by a drop in </w:t>
      </w:r>
      <w:r w:rsidRPr="005F2844">
        <w:rPr>
          <w:b/>
          <w:bCs/>
        </w:rPr>
        <w:t>February</w:t>
      </w:r>
      <w:r w:rsidRPr="005F2844">
        <w:t xml:space="preserve">. The lowest sales were observed in </w:t>
      </w:r>
      <w:r w:rsidRPr="005F2844">
        <w:rPr>
          <w:b/>
          <w:bCs/>
        </w:rPr>
        <w:t>April</w:t>
      </w:r>
      <w:r w:rsidRPr="005F2844">
        <w:t xml:space="preserve"> (5,483.76).</w:t>
      </w:r>
    </w:p>
    <w:p w:rsidR="005F2844" w:rsidRPr="005F2844" w:rsidRDefault="005F2844" w:rsidP="005F2844">
      <w:pPr>
        <w:numPr>
          <w:ilvl w:val="0"/>
          <w:numId w:val="3"/>
        </w:numPr>
        <w:spacing w:line="276" w:lineRule="auto"/>
      </w:pPr>
      <w:r w:rsidRPr="005F2844">
        <w:rPr>
          <w:b/>
          <w:bCs/>
        </w:rPr>
        <w:t>Visual</w:t>
      </w:r>
      <w:r w:rsidRPr="005F2844">
        <w:t>: Include a line chart to show sales trends over each month.</w:t>
      </w:r>
    </w:p>
    <w:p w:rsidR="005F2844" w:rsidRPr="005F2844" w:rsidRDefault="005F2844" w:rsidP="005F2844">
      <w:pPr>
        <w:spacing w:line="276" w:lineRule="auto"/>
        <w:rPr>
          <w:b/>
          <w:bCs/>
        </w:rPr>
      </w:pPr>
      <w:r w:rsidRPr="005F2844">
        <w:rPr>
          <w:b/>
          <w:bCs/>
        </w:rPr>
        <w:t>4. Sales Performance by Customer Type</w:t>
      </w:r>
    </w:p>
    <w:p w:rsidR="005F2844" w:rsidRPr="005F2844" w:rsidRDefault="005F2844" w:rsidP="005F2844">
      <w:pPr>
        <w:numPr>
          <w:ilvl w:val="0"/>
          <w:numId w:val="4"/>
        </w:numPr>
        <w:spacing w:line="276" w:lineRule="auto"/>
      </w:pPr>
      <w:r w:rsidRPr="005F2844">
        <w:rPr>
          <w:b/>
          <w:bCs/>
        </w:rPr>
        <w:t>Insight</w:t>
      </w:r>
      <w:r w:rsidRPr="005F2844">
        <w:t xml:space="preserve">: </w:t>
      </w:r>
      <w:r w:rsidRPr="005F2844">
        <w:rPr>
          <w:b/>
          <w:bCs/>
        </w:rPr>
        <w:t>Members</w:t>
      </w:r>
      <w:r w:rsidRPr="005F2844">
        <w:t xml:space="preserve"> account for a slightly higher share of total sales (</w:t>
      </w:r>
      <w:r w:rsidRPr="005F2844">
        <w:rPr>
          <w:b/>
          <w:bCs/>
        </w:rPr>
        <w:t>164,223.44</w:t>
      </w:r>
      <w:r w:rsidRPr="005F2844">
        <w:t xml:space="preserve">) compared to </w:t>
      </w:r>
      <w:r w:rsidRPr="005F2844">
        <w:rPr>
          <w:b/>
          <w:bCs/>
        </w:rPr>
        <w:t>Normal</w:t>
      </w:r>
      <w:r w:rsidRPr="005F2844">
        <w:t xml:space="preserve"> customers (</w:t>
      </w:r>
      <w:r w:rsidRPr="005F2844">
        <w:rPr>
          <w:b/>
          <w:bCs/>
        </w:rPr>
        <w:t>158,743.31</w:t>
      </w:r>
      <w:r w:rsidRPr="005F2844">
        <w:t>).</w:t>
      </w:r>
    </w:p>
    <w:p w:rsidR="005F2844" w:rsidRPr="005F2844" w:rsidRDefault="005F2844" w:rsidP="005F2844">
      <w:pPr>
        <w:numPr>
          <w:ilvl w:val="0"/>
          <w:numId w:val="4"/>
        </w:numPr>
        <w:spacing w:line="276" w:lineRule="auto"/>
      </w:pPr>
      <w:r w:rsidRPr="005F2844">
        <w:rPr>
          <w:b/>
          <w:bCs/>
        </w:rPr>
        <w:t>Visual</w:t>
      </w:r>
      <w:r w:rsidRPr="005F2844">
        <w:t>: Include a bar chart to compare total sales by customer type.</w:t>
      </w:r>
    </w:p>
    <w:p w:rsidR="005F2844" w:rsidRPr="005F2844" w:rsidRDefault="005F2844" w:rsidP="005F2844">
      <w:pPr>
        <w:spacing w:line="276" w:lineRule="auto"/>
        <w:rPr>
          <w:b/>
          <w:bCs/>
        </w:rPr>
      </w:pPr>
      <w:r w:rsidRPr="005F2844">
        <w:rPr>
          <w:b/>
          <w:bCs/>
        </w:rPr>
        <w:t>5. Sales by Payment Method</w:t>
      </w:r>
    </w:p>
    <w:p w:rsidR="005F2844" w:rsidRPr="005F2844" w:rsidRDefault="005F2844" w:rsidP="005F2844">
      <w:pPr>
        <w:numPr>
          <w:ilvl w:val="0"/>
          <w:numId w:val="5"/>
        </w:numPr>
        <w:spacing w:line="276" w:lineRule="auto"/>
      </w:pPr>
      <w:r w:rsidRPr="005F2844">
        <w:rPr>
          <w:b/>
          <w:bCs/>
        </w:rPr>
        <w:t>Insight</w:t>
      </w:r>
      <w:r w:rsidRPr="005F2844">
        <w:t xml:space="preserve">: </w:t>
      </w:r>
      <w:r w:rsidRPr="005F2844">
        <w:rPr>
          <w:b/>
          <w:bCs/>
        </w:rPr>
        <w:t>Cash</w:t>
      </w:r>
      <w:r w:rsidRPr="005F2844">
        <w:t xml:space="preserve"> transactions account for </w:t>
      </w:r>
      <w:r w:rsidRPr="005F2844">
        <w:rPr>
          <w:b/>
          <w:bCs/>
        </w:rPr>
        <w:t>112,206.57</w:t>
      </w:r>
      <w:r w:rsidRPr="005F2844">
        <w:t xml:space="preserve">, while </w:t>
      </w:r>
      <w:proofErr w:type="spellStart"/>
      <w:r w:rsidRPr="005F2844">
        <w:rPr>
          <w:b/>
          <w:bCs/>
        </w:rPr>
        <w:t>Ewallet</w:t>
      </w:r>
      <w:proofErr w:type="spellEnd"/>
      <w:r w:rsidRPr="005F2844">
        <w:t xml:space="preserve"> and </w:t>
      </w:r>
      <w:r w:rsidRPr="005F2844">
        <w:rPr>
          <w:b/>
          <w:bCs/>
        </w:rPr>
        <w:t>Credit card</w:t>
      </w:r>
      <w:r w:rsidRPr="005F2844">
        <w:t xml:space="preserve"> account for </w:t>
      </w:r>
      <w:r w:rsidRPr="005F2844">
        <w:rPr>
          <w:b/>
          <w:bCs/>
        </w:rPr>
        <w:t>109,993.11</w:t>
      </w:r>
      <w:r w:rsidRPr="005F2844">
        <w:t xml:space="preserve"> and </w:t>
      </w:r>
      <w:r w:rsidRPr="005F2844">
        <w:rPr>
          <w:b/>
          <w:bCs/>
        </w:rPr>
        <w:t>100,767.07</w:t>
      </w:r>
      <w:r w:rsidRPr="005F2844">
        <w:t>, respectively.</w:t>
      </w:r>
    </w:p>
    <w:p w:rsidR="005F2844" w:rsidRPr="005F2844" w:rsidRDefault="005F2844" w:rsidP="005F2844">
      <w:pPr>
        <w:numPr>
          <w:ilvl w:val="0"/>
          <w:numId w:val="5"/>
        </w:numPr>
        <w:spacing w:line="276" w:lineRule="auto"/>
      </w:pPr>
      <w:r w:rsidRPr="005F2844">
        <w:rPr>
          <w:b/>
          <w:bCs/>
        </w:rPr>
        <w:t>Visual</w:t>
      </w:r>
      <w:r w:rsidRPr="005F2844">
        <w:t>: Use a pie chart or bar chart to show sales by payment method.</w:t>
      </w:r>
    </w:p>
    <w:p w:rsidR="005F2844" w:rsidRPr="005F2844" w:rsidRDefault="005F2844" w:rsidP="005F2844">
      <w:pPr>
        <w:spacing w:line="276" w:lineRule="auto"/>
        <w:rPr>
          <w:b/>
          <w:bCs/>
        </w:rPr>
      </w:pPr>
      <w:r w:rsidRPr="005F2844">
        <w:rPr>
          <w:b/>
          <w:bCs/>
        </w:rPr>
        <w:t>6. Most Profitable Product Line</w:t>
      </w:r>
    </w:p>
    <w:p w:rsidR="005F2844" w:rsidRPr="005F2844" w:rsidRDefault="005F2844" w:rsidP="005F2844">
      <w:pPr>
        <w:numPr>
          <w:ilvl w:val="0"/>
          <w:numId w:val="6"/>
        </w:numPr>
        <w:spacing w:line="276" w:lineRule="auto"/>
      </w:pPr>
      <w:r w:rsidRPr="005F2844">
        <w:rPr>
          <w:b/>
          <w:bCs/>
        </w:rPr>
        <w:t>Insight</w:t>
      </w:r>
      <w:r w:rsidRPr="005F2844">
        <w:t xml:space="preserve">: The most profitable product category is </w:t>
      </w:r>
      <w:r w:rsidRPr="005F2844">
        <w:rPr>
          <w:b/>
          <w:bCs/>
        </w:rPr>
        <w:t>Food and beverages</w:t>
      </w:r>
      <w:r w:rsidRPr="005F2844">
        <w:t xml:space="preserve">, generating </w:t>
      </w:r>
      <w:r w:rsidRPr="005F2844">
        <w:rPr>
          <w:b/>
          <w:bCs/>
        </w:rPr>
        <w:t>2,673.56</w:t>
      </w:r>
      <w:r w:rsidRPr="005F2844">
        <w:t xml:space="preserve"> in gross income, followed by </w:t>
      </w:r>
      <w:r w:rsidRPr="005F2844">
        <w:rPr>
          <w:b/>
          <w:bCs/>
        </w:rPr>
        <w:t>Electronic accessories</w:t>
      </w:r>
      <w:r w:rsidRPr="005F2844">
        <w:t xml:space="preserve"> (2,587.50).</w:t>
      </w:r>
    </w:p>
    <w:p w:rsidR="005F2844" w:rsidRPr="005F2844" w:rsidRDefault="005F2844" w:rsidP="005F2844">
      <w:pPr>
        <w:numPr>
          <w:ilvl w:val="0"/>
          <w:numId w:val="6"/>
        </w:numPr>
        <w:spacing w:line="276" w:lineRule="auto"/>
      </w:pPr>
      <w:r w:rsidRPr="005F2844">
        <w:rPr>
          <w:b/>
          <w:bCs/>
        </w:rPr>
        <w:t>Visual</w:t>
      </w:r>
      <w:r w:rsidRPr="005F2844">
        <w:t>: Include a bar chart showing the gross income by product line.</w:t>
      </w:r>
    </w:p>
    <w:p w:rsidR="005F2844" w:rsidRPr="005F2844" w:rsidRDefault="005F2844" w:rsidP="005F2844">
      <w:pPr>
        <w:spacing w:line="276" w:lineRule="auto"/>
        <w:rPr>
          <w:b/>
          <w:bCs/>
        </w:rPr>
      </w:pPr>
      <w:r w:rsidRPr="005F2844">
        <w:rPr>
          <w:b/>
          <w:bCs/>
        </w:rPr>
        <w:t>7. Average Customer Ratings by Product Line</w:t>
      </w:r>
    </w:p>
    <w:p w:rsidR="005F2844" w:rsidRPr="005F2844" w:rsidRDefault="005F2844" w:rsidP="005F2844">
      <w:pPr>
        <w:numPr>
          <w:ilvl w:val="0"/>
          <w:numId w:val="7"/>
        </w:numPr>
        <w:spacing w:line="276" w:lineRule="auto"/>
      </w:pPr>
      <w:r w:rsidRPr="005F2844">
        <w:rPr>
          <w:b/>
          <w:bCs/>
        </w:rPr>
        <w:lastRenderedPageBreak/>
        <w:t>Insight</w:t>
      </w:r>
      <w:r w:rsidRPr="005F2844">
        <w:t xml:space="preserve">: </w:t>
      </w:r>
      <w:r w:rsidRPr="005F2844">
        <w:rPr>
          <w:b/>
          <w:bCs/>
        </w:rPr>
        <w:t>Fashion accessories</w:t>
      </w:r>
      <w:r w:rsidRPr="005F2844">
        <w:t xml:space="preserve"> received the highest average rating (</w:t>
      </w:r>
      <w:r w:rsidRPr="005F2844">
        <w:rPr>
          <w:b/>
          <w:bCs/>
        </w:rPr>
        <w:t>1251.2</w:t>
      </w:r>
      <w:r w:rsidRPr="005F2844">
        <w:t xml:space="preserve">), followed closely by </w:t>
      </w:r>
      <w:r w:rsidRPr="005F2844">
        <w:rPr>
          <w:b/>
          <w:bCs/>
        </w:rPr>
        <w:t>Food and beverages</w:t>
      </w:r>
      <w:r w:rsidRPr="005F2844">
        <w:t xml:space="preserve"> (</w:t>
      </w:r>
      <w:r w:rsidRPr="005F2844">
        <w:rPr>
          <w:b/>
          <w:bCs/>
        </w:rPr>
        <w:t>1237.7</w:t>
      </w:r>
      <w:r w:rsidRPr="005F2844">
        <w:t>).</w:t>
      </w:r>
    </w:p>
    <w:p w:rsidR="005F2844" w:rsidRPr="005F2844" w:rsidRDefault="005F2844" w:rsidP="005F2844">
      <w:pPr>
        <w:numPr>
          <w:ilvl w:val="0"/>
          <w:numId w:val="7"/>
        </w:numPr>
        <w:spacing w:line="276" w:lineRule="auto"/>
      </w:pPr>
      <w:r w:rsidRPr="005F2844">
        <w:rPr>
          <w:b/>
          <w:bCs/>
        </w:rPr>
        <w:t>Visual</w:t>
      </w:r>
      <w:r w:rsidRPr="005F2844">
        <w:t>: Use a bar chart or column chart to show the average ratings for each product line.</w:t>
      </w:r>
    </w:p>
    <w:p w:rsidR="005F2844" w:rsidRPr="005F2844" w:rsidRDefault="005F2844" w:rsidP="005F2844">
      <w:pPr>
        <w:spacing w:line="276" w:lineRule="auto"/>
      </w:pPr>
      <w:r w:rsidRPr="005F2844">
        <w:pict>
          <v:rect id="_x0000_i1026" style="width:0;height:1.5pt" o:hralign="center" o:hrstd="t" o:hr="t" fillcolor="#a0a0a0" stroked="f"/>
        </w:pict>
      </w:r>
    </w:p>
    <w:p w:rsidR="005F2844" w:rsidRPr="005F2844" w:rsidRDefault="005F2844" w:rsidP="005F2844">
      <w:pPr>
        <w:spacing w:line="276" w:lineRule="auto"/>
        <w:rPr>
          <w:b/>
          <w:bCs/>
        </w:rPr>
      </w:pPr>
      <w:r w:rsidRPr="005F2844">
        <w:rPr>
          <w:b/>
          <w:bCs/>
        </w:rPr>
        <w:t xml:space="preserve"> Recommendations</w:t>
      </w:r>
    </w:p>
    <w:p w:rsidR="005F2844" w:rsidRPr="005F2844" w:rsidRDefault="005F2844" w:rsidP="005F2844">
      <w:pPr>
        <w:numPr>
          <w:ilvl w:val="0"/>
          <w:numId w:val="8"/>
        </w:numPr>
        <w:spacing w:line="276" w:lineRule="auto"/>
      </w:pPr>
      <w:r w:rsidRPr="005F2844">
        <w:rPr>
          <w:b/>
          <w:bCs/>
        </w:rPr>
        <w:t>Product Line Focus</w:t>
      </w:r>
      <w:r w:rsidRPr="005F2844">
        <w:t xml:space="preserve">: Given that </w:t>
      </w:r>
      <w:r w:rsidRPr="005F2844">
        <w:rPr>
          <w:b/>
          <w:bCs/>
        </w:rPr>
        <w:t>Electronic accessories</w:t>
      </w:r>
      <w:r w:rsidRPr="005F2844">
        <w:t xml:space="preserve"> and </w:t>
      </w:r>
      <w:r w:rsidRPr="005F2844">
        <w:rPr>
          <w:b/>
          <w:bCs/>
        </w:rPr>
        <w:t>Fashion accessories</w:t>
      </w:r>
      <w:r w:rsidRPr="005F2844">
        <w:t xml:space="preserve"> are top sellers, consider increasing inventory or marketing efforts in these categories to boost sales further.</w:t>
      </w:r>
    </w:p>
    <w:p w:rsidR="005F2844" w:rsidRPr="005F2844" w:rsidRDefault="005F2844" w:rsidP="005F2844">
      <w:pPr>
        <w:numPr>
          <w:ilvl w:val="0"/>
          <w:numId w:val="8"/>
        </w:numPr>
        <w:spacing w:line="276" w:lineRule="auto"/>
      </w:pPr>
      <w:r w:rsidRPr="005F2844">
        <w:rPr>
          <w:b/>
          <w:bCs/>
        </w:rPr>
        <w:t>Customer Engagement</w:t>
      </w:r>
      <w:r w:rsidRPr="005F2844">
        <w:t xml:space="preserve">: Since </w:t>
      </w:r>
      <w:r w:rsidRPr="005F2844">
        <w:rPr>
          <w:b/>
          <w:bCs/>
        </w:rPr>
        <w:t>Members</w:t>
      </w:r>
      <w:r w:rsidRPr="005F2844">
        <w:t xml:space="preserve"> generate higher sales, focusing on loyalty programs or member-exclusive offers could help increase sales from normal customers.</w:t>
      </w:r>
    </w:p>
    <w:p w:rsidR="005F2844" w:rsidRPr="005F2844" w:rsidRDefault="005F2844" w:rsidP="005F2844">
      <w:pPr>
        <w:numPr>
          <w:ilvl w:val="0"/>
          <w:numId w:val="8"/>
        </w:numPr>
        <w:spacing w:line="276" w:lineRule="auto"/>
      </w:pPr>
      <w:r w:rsidRPr="005F2844">
        <w:rPr>
          <w:b/>
          <w:bCs/>
        </w:rPr>
        <w:t>Sales Growth Opportunity</w:t>
      </w:r>
      <w:r w:rsidRPr="005F2844">
        <w:t xml:space="preserve">: Despite the drop in sales in </w:t>
      </w:r>
      <w:r w:rsidRPr="005F2844">
        <w:rPr>
          <w:b/>
          <w:bCs/>
        </w:rPr>
        <w:t>April</w:t>
      </w:r>
      <w:r w:rsidRPr="005F2844">
        <w:t>, investigate seasonal trends and promotional strategies to increase sales during slower months.</w:t>
      </w:r>
    </w:p>
    <w:p w:rsidR="005F2844" w:rsidRPr="005F2844" w:rsidRDefault="005F2844" w:rsidP="005F2844">
      <w:pPr>
        <w:numPr>
          <w:ilvl w:val="0"/>
          <w:numId w:val="8"/>
        </w:numPr>
        <w:spacing w:line="276" w:lineRule="auto"/>
      </w:pPr>
      <w:r w:rsidRPr="005F2844">
        <w:rPr>
          <w:b/>
          <w:bCs/>
        </w:rPr>
        <w:t>Profitability Focus</w:t>
      </w:r>
      <w:r w:rsidRPr="005F2844">
        <w:t xml:space="preserve">: Focus on promoting more </w:t>
      </w:r>
      <w:r w:rsidRPr="005F2844">
        <w:rPr>
          <w:b/>
          <w:bCs/>
        </w:rPr>
        <w:t>Food and beverages</w:t>
      </w:r>
      <w:r w:rsidRPr="005F2844">
        <w:t>, which has the highest gross income, ensuring these products are available in all regions.</w:t>
      </w:r>
    </w:p>
    <w:p w:rsidR="005F2844" w:rsidRPr="005F2844" w:rsidRDefault="005F2844" w:rsidP="005F2844">
      <w:pPr>
        <w:spacing w:line="276" w:lineRule="auto"/>
      </w:pPr>
      <w:r w:rsidRPr="005F2844">
        <w:pict>
          <v:rect id="_x0000_i1027" style="width:0;height:1.5pt" o:hralign="center" o:hrstd="t" o:hr="t" fillcolor="#a0a0a0" stroked="f"/>
        </w:pict>
      </w:r>
    </w:p>
    <w:p w:rsidR="005F2844" w:rsidRPr="005F2844" w:rsidRDefault="005F2844" w:rsidP="005F2844">
      <w:pPr>
        <w:spacing w:line="276" w:lineRule="auto"/>
        <w:rPr>
          <w:b/>
          <w:bCs/>
        </w:rPr>
      </w:pPr>
      <w:r w:rsidRPr="005F2844">
        <w:rPr>
          <w:b/>
          <w:bCs/>
        </w:rPr>
        <w:t>Conclusion</w:t>
      </w:r>
    </w:p>
    <w:p w:rsidR="005F2844" w:rsidRPr="005F2844" w:rsidRDefault="005F2844" w:rsidP="005F2844">
      <w:pPr>
        <w:spacing w:line="276" w:lineRule="auto"/>
      </w:pPr>
      <w:r w:rsidRPr="005F2844">
        <w:t xml:space="preserve">This report reveals that product categories like </w:t>
      </w:r>
      <w:r w:rsidRPr="005F2844">
        <w:rPr>
          <w:b/>
          <w:bCs/>
        </w:rPr>
        <w:t>Electronic accessories</w:t>
      </w:r>
      <w:r w:rsidRPr="005F2844">
        <w:t xml:space="preserve"> and </w:t>
      </w:r>
      <w:r w:rsidRPr="005F2844">
        <w:rPr>
          <w:b/>
          <w:bCs/>
        </w:rPr>
        <w:t>Fashion accessories</w:t>
      </w:r>
      <w:r w:rsidRPr="005F2844">
        <w:t xml:space="preserve"> are driving sales growth, with </w:t>
      </w:r>
      <w:r w:rsidRPr="005F2844">
        <w:rPr>
          <w:b/>
          <w:bCs/>
        </w:rPr>
        <w:t>Food and beverages</w:t>
      </w:r>
      <w:r w:rsidRPr="005F2844">
        <w:t xml:space="preserve"> being the most profitable. Understanding these trends, focusing on customer loyalty, and leveraging the best-performing payment methods will help maximize sales and profitability. Additionally, the </w:t>
      </w:r>
      <w:r w:rsidRPr="005F2844">
        <w:rPr>
          <w:b/>
          <w:bCs/>
        </w:rPr>
        <w:t>monthly sales trends</w:t>
      </w:r>
      <w:r w:rsidRPr="005F2844">
        <w:t xml:space="preserve"> indicate opportunities for targeted promotions during off-peak months.</w:t>
      </w:r>
    </w:p>
    <w:p w:rsidR="00277514" w:rsidRDefault="00277514" w:rsidP="005F2844">
      <w:pPr>
        <w:spacing w:line="276" w:lineRule="auto"/>
      </w:pPr>
      <w:bookmarkStart w:id="0" w:name="_GoBack"/>
      <w:bookmarkEnd w:id="0"/>
    </w:p>
    <w:sectPr w:rsidR="002775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B36F5"/>
    <w:multiLevelType w:val="multilevel"/>
    <w:tmpl w:val="31F4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83233"/>
    <w:multiLevelType w:val="multilevel"/>
    <w:tmpl w:val="1DEE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067C67"/>
    <w:multiLevelType w:val="multilevel"/>
    <w:tmpl w:val="B168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73599"/>
    <w:multiLevelType w:val="multilevel"/>
    <w:tmpl w:val="F0904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11261B"/>
    <w:multiLevelType w:val="multilevel"/>
    <w:tmpl w:val="0518B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9E01EB"/>
    <w:multiLevelType w:val="multilevel"/>
    <w:tmpl w:val="663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376D7A"/>
    <w:multiLevelType w:val="multilevel"/>
    <w:tmpl w:val="3C96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EB4B89"/>
    <w:multiLevelType w:val="multilevel"/>
    <w:tmpl w:val="203E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5"/>
  </w:num>
  <w:num w:numId="5">
    <w:abstractNumId w:val="7"/>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FDE"/>
    <w:rsid w:val="00277514"/>
    <w:rsid w:val="005F2844"/>
    <w:rsid w:val="00A67F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7CECA"/>
  <w15:chartTrackingRefBased/>
  <w15:docId w15:val="{A92B826E-F1F2-4D2C-86D0-97A238CC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8838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478</Words>
  <Characters>2730</Characters>
  <Application>Microsoft Office Word</Application>
  <DocSecurity>0</DocSecurity>
  <Lines>22</Lines>
  <Paragraphs>6</Paragraphs>
  <ScaleCrop>false</ScaleCrop>
  <Company/>
  <LinksUpToDate>false</LinksUpToDate>
  <CharactersWithSpaces>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2025-02-18T17:54:00Z</dcterms:created>
  <dcterms:modified xsi:type="dcterms:W3CDTF">2025-02-18T17:57:00Z</dcterms:modified>
</cp:coreProperties>
</file>