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Project Planning and Requirements Analysis</w:t>
      </w:r>
    </w:p>
    <w:p>
      <w:r>
        <w:t>CivicServe e governance and digital services portal</w:t>
      </w:r>
    </w:p>
    <w:p>
      <w:r>
        <w:t>Internship planning deliverable | 12 October 2026</w:t>
      </w:r>
    </w:p>
    <w:p>
      <w:pPr>
        <w:pStyle w:val="Heading1"/>
      </w:pPr>
      <w:r>
        <w:t>Executive summary</w:t>
      </w:r>
    </w:p>
    <w:p>
      <w:r>
        <w:t>CivicServe is a proposed e-governance portal for residents to discover public services, submit applications, track decisions, and raise grievances through a single accessible interface. The recommended first release covers three illustrative services: residence certificate requests, income certificate requests, and civic grievances. These examples define workflows without claiming authority to issue real certificates. Citizens receive a reference number and a visible history; staff review requests within their department and record reasons for decisions.</w:t>
      </w:r>
    </w:p>
    <w:p>
      <w:r>
        <w:t>The four-week internship produces a complete planning and design package. Implementation and public deployment are later phases, subject to departmental approvals, security review, and integration agreements. The package includes four reports, responsive wireframes, an API contract, an executable PostgreSQL schema, a risk register, and submission descriptions. No live identity, payment, or government database integration is assumed.</w:t>
      </w:r>
    </w:p>
    <w:p>
      <w:pPr>
        <w:pStyle w:val="Heading1"/>
      </w:pPr>
      <w:r>
        <w:t>Purpose and public research</w:t>
      </w:r>
    </w:p>
    <w:p>
      <w:r>
        <w:t>Public service portals need clear eligibility information, predictable navigation, and accessible forms. GIGW provides a public reference for Indian government website governance and quality; WCAG supplies testable accessibility criteria. These sources support an approach that treats usability, content ownership, and accessibility as requirements rather than decorative features [GIGW, WCAG]. The project proposes service discovery and a tracked application journey as its central design choices.</w:t>
      </w:r>
    </w:p>
    <w:p>
      <w:r>
        <w:t>The target institution is an illustrative local public service department in India. A department content owner must validate service eligibility, documentary requirements, fees, retention schedules, and appeal routes before deployment. The research is desk-based; no citizen interviews, usability measurements, or government approvals have been completed.</w:t>
      </w:r>
    </w:p>
    <w:p>
      <w:pPr>
        <w:pStyle w:val="Heading1"/>
      </w:pPr>
      <w:r>
        <w:t>Scope and boundaries</w:t>
      </w:r>
    </w:p>
    <w:p>
      <w:r>
        <w:t>In scope are an openly browsable service catalogue, registration and session authentication, citizen-owned application records, draft saving, document upload, department review, notifications, feedback, grievances, role administration, and audit events. Language-ready content will support English and Tamil in the implementation backlog.</w:t>
      </w:r>
    </w:p>
    <w:p>
      <w:r>
        <w:t>Out of scope for the initial release are Aadhaar verification, DigiLocker integration, real payments, legally valid certificate issuance, and automated eligibility decisions. These require separate provider contracts, legal review, and approval. An offline assistance route remains available for people unable to complete the digital journey. The prototype uses fictitious service details and collects no personal data.</w:t>
      </w:r>
    </w:p>
    <w:p>
      <w:pPr>
        <w:pStyle w:val="Heading1"/>
      </w:pPr>
      <w:r>
        <w:t>Functional requirements and acceptance</w:t>
      </w:r>
    </w:p>
    <w:tbl>
      <w:tblPr>
        <w:tblStyle w:val="LightShading-Accent1"/>
        <w:tblW w:type="auto" w:w="0"/>
        <w:tblLayout w:type="fixed"/>
        <w:tblLook w:firstColumn="1" w:firstRow="1" w:lastColumn="0" w:lastRow="0" w:noHBand="0" w:noVBand="1" w:val="04A0"/>
      </w:tblPr>
      <w:tblGrid>
        <w:gridCol w:w="3384"/>
        <w:gridCol w:w="2664"/>
        <w:gridCol w:w="4032"/>
      </w:tblGrid>
      <w:tr>
        <w:trPr>
          <w:tblHeader/>
          <w:cantSplit/>
        </w:trPr>
        <w:tc>
          <w:tcPr>
            <w:tcW w:type="dxa" w:w="3384"/>
          </w:tcPr>
          <w:p>
            <w:pPr>
              <w:keepNext/>
            </w:pPr>
            <w:r>
              <w:rPr>
                <w:sz w:val="20"/>
              </w:rPr>
              <w:t>ID</w:t>
            </w:r>
          </w:p>
        </w:tc>
        <w:tc>
          <w:tcPr>
            <w:tcW w:type="dxa" w:w="2664"/>
          </w:tcPr>
          <w:p>
            <w:pPr>
              <w:keepNext/>
            </w:pPr>
            <w:r>
              <w:rPr>
                <w:sz w:val="20"/>
              </w:rPr>
              <w:t>Requirement</w:t>
            </w:r>
          </w:p>
        </w:tc>
        <w:tc>
          <w:tcPr>
            <w:tcW w:type="dxa" w:w="4032"/>
          </w:tcPr>
          <w:p>
            <w:pPr>
              <w:keepNext/>
            </w:pPr>
            <w:r>
              <w:rPr>
                <w:sz w:val="20"/>
              </w:rPr>
              <w:t>Acceptance criterion</w:t>
            </w:r>
          </w:p>
        </w:tc>
      </w:tr>
      <w:tr>
        <w:trPr>
          <w:cantSplit/>
        </w:trPr>
        <w:tc>
          <w:tcPr>
            <w:tcW w:type="dxa" w:w="3384"/>
          </w:tcPr>
          <w:p>
            <w:pPr>
              <w:keepNext/>
            </w:pPr>
            <w:r>
              <w:rPr>
                <w:sz w:val="20"/>
              </w:rPr>
              <w:t>FR01</w:t>
            </w:r>
          </w:p>
        </w:tc>
        <w:tc>
          <w:tcPr>
            <w:tcW w:type="dxa" w:w="2664"/>
          </w:tcPr>
          <w:p>
            <w:pPr>
              <w:keepNext/>
            </w:pPr>
            <w:r>
              <w:rPr>
                <w:sz w:val="20"/>
              </w:rPr>
              <w:t>Search and filter services</w:t>
            </w:r>
          </w:p>
        </w:tc>
        <w:tc>
          <w:tcPr>
            <w:tcW w:type="dxa" w:w="4032"/>
          </w:tcPr>
          <w:p>
            <w:pPr>
              <w:keepNext/>
            </w:pPr>
            <w:r>
              <w:rPr>
                <w:sz w:val="20"/>
              </w:rPr>
              <w:t>Search by keyword and category returns relevant published services; empty results offer help.</w:t>
            </w:r>
          </w:p>
        </w:tc>
      </w:tr>
      <w:tr>
        <w:trPr>
          <w:cantSplit/>
        </w:trPr>
        <w:tc>
          <w:tcPr>
            <w:tcW w:type="dxa" w:w="3384"/>
          </w:tcPr>
          <w:p>
            <w:pPr>
              <w:keepNext w:val="0"/>
            </w:pPr>
            <w:r>
              <w:rPr>
                <w:sz w:val="20"/>
              </w:rPr>
              <w:t>FR02</w:t>
            </w:r>
          </w:p>
        </w:tc>
        <w:tc>
          <w:tcPr>
            <w:tcW w:type="dxa" w:w="2664"/>
          </w:tcPr>
          <w:p>
            <w:pPr>
              <w:keepNext w:val="0"/>
            </w:pPr>
            <w:r>
              <w:rPr>
                <w:sz w:val="20"/>
              </w:rPr>
              <w:t>Account and sessions</w:t>
            </w:r>
          </w:p>
        </w:tc>
        <w:tc>
          <w:tcPr>
            <w:tcW w:type="dxa" w:w="4032"/>
          </w:tcPr>
          <w:p>
            <w:pPr>
              <w:keepNext w:val="0"/>
            </w:pPr>
            <w:r>
              <w:rPr>
                <w:sz w:val="20"/>
              </w:rPr>
              <w:t>Authenticated users can sign out; session expiry returns them to sign in without exposing saved records.</w:t>
            </w:r>
          </w:p>
        </w:tc>
      </w:tr>
      <w:tr>
        <w:trPr>
          <w:cantSplit/>
        </w:trPr>
        <w:tc>
          <w:tcPr>
            <w:tcW w:type="dxa" w:w="3384"/>
          </w:tcPr>
          <w:p>
            <w:pPr>
              <w:keepNext w:val="0"/>
            </w:pPr>
            <w:r>
              <w:rPr>
                <w:sz w:val="20"/>
              </w:rPr>
              <w:t>FR03</w:t>
            </w:r>
          </w:p>
        </w:tc>
        <w:tc>
          <w:tcPr>
            <w:tcW w:type="dxa" w:w="2664"/>
          </w:tcPr>
          <w:p>
            <w:pPr>
              <w:keepNext w:val="0"/>
            </w:pPr>
            <w:r>
              <w:rPr>
                <w:sz w:val="20"/>
              </w:rPr>
              <w:t>Draft and submission</w:t>
            </w:r>
          </w:p>
        </w:tc>
        <w:tc>
          <w:tcPr>
            <w:tcW w:type="dxa" w:w="4032"/>
          </w:tcPr>
          <w:p>
            <w:pPr>
              <w:keepNext w:val="0"/>
            </w:pPr>
            <w:r>
              <w:rPr>
                <w:sz w:val="20"/>
              </w:rPr>
              <w:t>A draft remains editable; submission requires mandatory fields and clean required uploads.</w:t>
            </w:r>
          </w:p>
        </w:tc>
      </w:tr>
      <w:tr>
        <w:trPr>
          <w:cantSplit/>
        </w:trPr>
        <w:tc>
          <w:tcPr>
            <w:tcW w:type="dxa" w:w="3384"/>
          </w:tcPr>
          <w:p>
            <w:pPr>
              <w:keepNext w:val="0"/>
            </w:pPr>
            <w:r>
              <w:rPr>
                <w:sz w:val="20"/>
              </w:rPr>
              <w:t>FR04</w:t>
            </w:r>
          </w:p>
        </w:tc>
        <w:tc>
          <w:tcPr>
            <w:tcW w:type="dxa" w:w="2664"/>
          </w:tcPr>
          <w:p>
            <w:pPr>
              <w:keepNext w:val="0"/>
            </w:pPr>
            <w:r>
              <w:rPr>
                <w:sz w:val="20"/>
              </w:rPr>
              <w:t>Track own applications</w:t>
            </w:r>
          </w:p>
        </w:tc>
        <w:tc>
          <w:tcPr>
            <w:tcW w:type="dxa" w:w="4032"/>
          </w:tcPr>
          <w:p>
            <w:pPr>
              <w:keepNext w:val="0"/>
            </w:pPr>
            <w:r>
              <w:rPr>
                <w:sz w:val="20"/>
              </w:rPr>
              <w:t>Citizen sees only their records and chronological public status history.</w:t>
            </w:r>
          </w:p>
        </w:tc>
      </w:tr>
      <w:tr>
        <w:trPr>
          <w:cantSplit/>
        </w:trPr>
        <w:tc>
          <w:tcPr>
            <w:tcW w:type="dxa" w:w="3384"/>
          </w:tcPr>
          <w:p>
            <w:pPr>
              <w:keepNext w:val="0"/>
            </w:pPr>
            <w:r>
              <w:rPr>
                <w:sz w:val="20"/>
              </w:rPr>
              <w:t>FR05</w:t>
            </w:r>
          </w:p>
        </w:tc>
        <w:tc>
          <w:tcPr>
            <w:tcW w:type="dxa" w:w="2664"/>
          </w:tcPr>
          <w:p>
            <w:pPr>
              <w:keepNext w:val="0"/>
            </w:pPr>
            <w:r>
              <w:rPr>
                <w:sz w:val="20"/>
              </w:rPr>
              <w:t>Officer review</w:t>
            </w:r>
          </w:p>
        </w:tc>
        <w:tc>
          <w:tcPr>
            <w:tcW w:type="dxa" w:w="4032"/>
          </w:tcPr>
          <w:p>
            <w:pPr>
              <w:keepNext w:val="0"/>
            </w:pPr>
            <w:r>
              <w:rPr>
                <w:sz w:val="20"/>
              </w:rPr>
              <w:t>Only an assigned departmental officer can request changes or record a reasoned decision.</w:t>
            </w:r>
          </w:p>
        </w:tc>
      </w:tr>
      <w:tr>
        <w:trPr>
          <w:cantSplit/>
        </w:trPr>
        <w:tc>
          <w:tcPr>
            <w:tcW w:type="dxa" w:w="3384"/>
          </w:tcPr>
          <w:p>
            <w:pPr>
              <w:keepNext w:val="0"/>
            </w:pPr>
            <w:r>
              <w:rPr>
                <w:sz w:val="20"/>
              </w:rPr>
              <w:t>FR06</w:t>
            </w:r>
          </w:p>
        </w:tc>
        <w:tc>
          <w:tcPr>
            <w:tcW w:type="dxa" w:w="2664"/>
          </w:tcPr>
          <w:p>
            <w:pPr>
              <w:keepNext w:val="0"/>
            </w:pPr>
            <w:r>
              <w:rPr>
                <w:sz w:val="20"/>
              </w:rPr>
              <w:t>Grievances and feedback</w:t>
            </w:r>
          </w:p>
        </w:tc>
        <w:tc>
          <w:tcPr>
            <w:tcW w:type="dxa" w:w="4032"/>
          </w:tcPr>
          <w:p>
            <w:pPr>
              <w:keepNext w:val="0"/>
            </w:pPr>
            <w:r>
              <w:rPr>
                <w:sz w:val="20"/>
              </w:rPr>
              <w:t>Citizen receives a grievance reference; feedback is optional and tied to an owned completed request.</w:t>
            </w:r>
          </w:p>
        </w:tc>
      </w:tr>
      <w:tr>
        <w:trPr>
          <w:cantSplit/>
        </w:trPr>
        <w:tc>
          <w:tcPr>
            <w:tcW w:type="dxa" w:w="3384"/>
          </w:tcPr>
          <w:p>
            <w:pPr>
              <w:keepNext w:val="0"/>
            </w:pPr>
            <w:r>
              <w:rPr>
                <w:sz w:val="20"/>
              </w:rPr>
              <w:t>FR07</w:t>
            </w:r>
          </w:p>
        </w:tc>
        <w:tc>
          <w:tcPr>
            <w:tcW w:type="dxa" w:w="2664"/>
          </w:tcPr>
          <w:p>
            <w:pPr>
              <w:keepNext w:val="0"/>
            </w:pPr>
            <w:r>
              <w:rPr>
                <w:sz w:val="20"/>
              </w:rPr>
              <w:t>Administration and audit</w:t>
            </w:r>
          </w:p>
        </w:tc>
        <w:tc>
          <w:tcPr>
            <w:tcW w:type="dxa" w:w="4032"/>
          </w:tcPr>
          <w:p>
            <w:pPr>
              <w:keepNext w:val="0"/>
            </w:pPr>
            <w:r>
              <w:rPr>
                <w:sz w:val="20"/>
              </w:rPr>
              <w:t>Role changes and decisions are recorded; citizen credentials never confer staff privileges.</w:t>
            </w:r>
          </w:p>
        </w:tc>
      </w:tr>
    </w:tbl>
    <w:p>
      <w:pPr>
        <w:pStyle w:val="Heading1"/>
      </w:pPr>
      <w:r>
        <w:t>Quality requirements and targets</w:t>
      </w:r>
    </w:p>
    <w:p>
      <w:r>
        <w:t>Accessibility target: WCAG 2.2 AA, with manual keyboard, zoom, and screen-reader checks in addition to automated testing. Responsiveness target: usable layouts at 320 CSS pixels and 200 percent zoom. Performance target for a later staging system: p95 read latency below 500 ms and write latency below 1 second under a specified 50-concurrent-user workload, excluding external providers. These are proposed acceptance targets, not measured outcomes.</w:t>
      </w:r>
    </w:p>
    <w:p>
      <w:r>
        <w:t>Availability target after deployment is 99.5 percent monthly, excluding approved maintenance. Proposed recovery targets are a 24-hour maximum data-loss window and four-hour recovery time; these require successful restore exercises. Personal information must be minimized, protected in transit and storage, and excluded from application logs. Each release must pass ownership and department-boundary authorization tests.</w:t>
      </w:r>
    </w:p>
    <w:p>
      <w:pPr>
        <w:pStyle w:val="Heading1"/>
      </w:pPr>
      <w:r>
        <w:t>User personas</w:t>
      </w:r>
    </w:p>
    <w:tbl>
      <w:tblPr>
        <w:tblStyle w:val="LightShading-Accent1"/>
        <w:tblW w:type="auto" w:w="0"/>
        <w:tblLayout w:type="fixed"/>
        <w:tblLook w:firstColumn="1" w:firstRow="1" w:lastColumn="0" w:lastRow="0" w:noHBand="0" w:noVBand="1" w:val="04A0"/>
      </w:tblPr>
      <w:tblGrid>
        <w:gridCol w:w="3384"/>
        <w:gridCol w:w="2664"/>
        <w:gridCol w:w="4032"/>
      </w:tblGrid>
      <w:tr>
        <w:trPr>
          <w:tblHeader/>
          <w:cantSplit/>
        </w:trPr>
        <w:tc>
          <w:tcPr>
            <w:tcW w:type="dxa" w:w="3384"/>
          </w:tcPr>
          <w:p>
            <w:pPr>
              <w:keepNext/>
            </w:pPr>
            <w:r>
              <w:rPr>
                <w:sz w:val="20"/>
              </w:rPr>
              <w:t>Persona</w:t>
            </w:r>
          </w:p>
        </w:tc>
        <w:tc>
          <w:tcPr>
            <w:tcW w:type="dxa" w:w="2664"/>
          </w:tcPr>
          <w:p>
            <w:pPr>
              <w:keepNext/>
            </w:pPr>
            <w:r>
              <w:rPr>
                <w:sz w:val="20"/>
              </w:rPr>
              <w:t>Need and constraint</w:t>
            </w:r>
          </w:p>
        </w:tc>
        <w:tc>
          <w:tcPr>
            <w:tcW w:type="dxa" w:w="4032"/>
          </w:tcPr>
          <w:p>
            <w:pPr>
              <w:keepNext/>
            </w:pPr>
            <w:r>
              <w:rPr>
                <w:sz w:val="20"/>
              </w:rPr>
              <w:t>Design response</w:t>
            </w:r>
          </w:p>
        </w:tc>
      </w:tr>
      <w:tr>
        <w:trPr>
          <w:cantSplit/>
        </w:trPr>
        <w:tc>
          <w:tcPr>
            <w:tcW w:type="dxa" w:w="3384"/>
          </w:tcPr>
          <w:p>
            <w:pPr>
              <w:keepNext/>
            </w:pPr>
            <w:r>
              <w:rPr>
                <w:sz w:val="20"/>
              </w:rPr>
              <w:t>Resident using a phone</w:t>
            </w:r>
          </w:p>
        </w:tc>
        <w:tc>
          <w:tcPr>
            <w:tcW w:type="dxa" w:w="2664"/>
          </w:tcPr>
          <w:p>
            <w:pPr>
              <w:keepNext/>
            </w:pPr>
            <w:r>
              <w:rPr>
                <w:sz w:val="20"/>
              </w:rPr>
              <w:t>Limited bandwidth and little portal experience</w:t>
            </w:r>
          </w:p>
        </w:tc>
        <w:tc>
          <w:tcPr>
            <w:tcW w:type="dxa" w:w="4032"/>
          </w:tcPr>
          <w:p>
            <w:pPr>
              <w:keepNext/>
            </w:pPr>
            <w:r>
              <w:rPr>
                <w:sz w:val="20"/>
              </w:rPr>
              <w:t>Plain language, small pages, visible draft saving and clear help.</w:t>
            </w:r>
          </w:p>
        </w:tc>
      </w:tr>
      <w:tr>
        <w:trPr>
          <w:cantSplit/>
        </w:trPr>
        <w:tc>
          <w:tcPr>
            <w:tcW w:type="dxa" w:w="3384"/>
          </w:tcPr>
          <w:p>
            <w:pPr>
              <w:keepNext w:val="0"/>
            </w:pPr>
            <w:r>
              <w:rPr>
                <w:sz w:val="20"/>
              </w:rPr>
              <w:t>Tamil speaking resident</w:t>
            </w:r>
          </w:p>
        </w:tc>
        <w:tc>
          <w:tcPr>
            <w:tcW w:type="dxa" w:w="2664"/>
          </w:tcPr>
          <w:p>
            <w:pPr>
              <w:keepNext w:val="0"/>
            </w:pPr>
            <w:r>
              <w:rPr>
                <w:sz w:val="20"/>
              </w:rPr>
              <w:t>Prefers Tamil and assisted service</w:t>
            </w:r>
          </w:p>
        </w:tc>
        <w:tc>
          <w:tcPr>
            <w:tcW w:type="dxa" w:w="4032"/>
          </w:tcPr>
          <w:p>
            <w:pPr>
              <w:keepNext w:val="0"/>
            </w:pPr>
            <w:r>
              <w:rPr>
                <w:sz w:val="20"/>
              </w:rPr>
              <w:t>Language-ready labels and an assisted channel with consent and operator identity.</w:t>
            </w:r>
          </w:p>
        </w:tc>
      </w:tr>
      <w:tr>
        <w:trPr>
          <w:cantSplit/>
        </w:trPr>
        <w:tc>
          <w:tcPr>
            <w:tcW w:type="dxa" w:w="3384"/>
          </w:tcPr>
          <w:p>
            <w:pPr>
              <w:keepNext w:val="0"/>
            </w:pPr>
            <w:r>
              <w:rPr>
                <w:sz w:val="20"/>
              </w:rPr>
              <w:t>Resident using assistive technology</w:t>
            </w:r>
          </w:p>
        </w:tc>
        <w:tc>
          <w:tcPr>
            <w:tcW w:type="dxa" w:w="2664"/>
          </w:tcPr>
          <w:p>
            <w:pPr>
              <w:keepNext w:val="0"/>
            </w:pPr>
            <w:r>
              <w:rPr>
                <w:sz w:val="20"/>
              </w:rPr>
              <w:t>Keyboard navigation and readable errors</w:t>
            </w:r>
          </w:p>
        </w:tc>
        <w:tc>
          <w:tcPr>
            <w:tcW w:type="dxa" w:w="4032"/>
          </w:tcPr>
          <w:p>
            <w:pPr>
              <w:keepNext w:val="0"/>
            </w:pPr>
            <w:r>
              <w:rPr>
                <w:sz w:val="20"/>
              </w:rPr>
              <w:t>Semantic labels, error summary, visible focus and text status.</w:t>
            </w:r>
          </w:p>
        </w:tc>
      </w:tr>
      <w:tr>
        <w:trPr>
          <w:cantSplit/>
        </w:trPr>
        <w:tc>
          <w:tcPr>
            <w:tcW w:type="dxa" w:w="3384"/>
          </w:tcPr>
          <w:p>
            <w:pPr>
              <w:keepNext w:val="0"/>
            </w:pPr>
            <w:r>
              <w:rPr>
                <w:sz w:val="20"/>
              </w:rPr>
              <w:t>Department officer</w:t>
            </w:r>
          </w:p>
        </w:tc>
        <w:tc>
          <w:tcPr>
            <w:tcW w:type="dxa" w:w="2664"/>
          </w:tcPr>
          <w:p>
            <w:pPr>
              <w:keepNext w:val="0"/>
            </w:pPr>
            <w:r>
              <w:rPr>
                <w:sz w:val="20"/>
              </w:rPr>
              <w:t>Processes a queue and needs evidence</w:t>
            </w:r>
          </w:p>
        </w:tc>
        <w:tc>
          <w:tcPr>
            <w:tcW w:type="dxa" w:w="4032"/>
          </w:tcPr>
          <w:p>
            <w:pPr>
              <w:keepNext w:val="0"/>
            </w:pPr>
            <w:r>
              <w:rPr>
                <w:sz w:val="20"/>
              </w:rPr>
              <w:t>Department filters, history, document scan status and decision reasons.</w:t>
            </w:r>
          </w:p>
        </w:tc>
      </w:tr>
      <w:tr>
        <w:trPr>
          <w:cantSplit/>
        </w:trPr>
        <w:tc>
          <w:tcPr>
            <w:tcW w:type="dxa" w:w="3384"/>
          </w:tcPr>
          <w:p>
            <w:pPr>
              <w:keepNext w:val="0"/>
            </w:pPr>
            <w:r>
              <w:rPr>
                <w:sz w:val="20"/>
              </w:rPr>
              <w:t>Portal administrator</w:t>
            </w:r>
          </w:p>
        </w:tc>
        <w:tc>
          <w:tcPr>
            <w:tcW w:type="dxa" w:w="2664"/>
          </w:tcPr>
          <w:p>
            <w:pPr>
              <w:keepNext w:val="0"/>
            </w:pPr>
            <w:r>
              <w:rPr>
                <w:sz w:val="20"/>
              </w:rPr>
              <w:t>Maintains services without deciding applications</w:t>
            </w:r>
          </w:p>
        </w:tc>
        <w:tc>
          <w:tcPr>
            <w:tcW w:type="dxa" w:w="4032"/>
          </w:tcPr>
          <w:p>
            <w:pPr>
              <w:keepNext w:val="0"/>
            </w:pPr>
            <w:r>
              <w:rPr>
                <w:sz w:val="20"/>
              </w:rPr>
              <w:t>Separate permissions for content, accounts and operational monitoring.</w:t>
            </w:r>
          </w:p>
        </w:tc>
      </w:tr>
    </w:tbl>
    <w:p>
      <w:pPr>
        <w:pStyle w:val="Heading1"/>
      </w:pPr>
      <w:r>
        <w:t>Use cases and exception paths</w:t>
      </w:r>
    </w:p>
    <w:p>
      <w:r>
        <w:t>UC01 Service application: a signed-in citizen opens a service, checks eligibility, saves a draft, provides required fields and uploads, reviews the privacy notice, and submits. The system validates server-side and returns a reference. A duplicate idempotency key returns the original result; invalid input returns field errors without losing valid values.</w:t>
      </w:r>
    </w:p>
    <w:p>
      <w:r>
        <w:t>UC02 Staff decision: an assigned officer reviews evidence, requests information, or approves or rejects with a reason. Concurrent stale updates return a conflict and require reloading. UC03 Grievance: a resident selects a category and submits a description; staff assigns and resolves it with a visible response. A service outage shows a retry message and assistance route rather than a false success.</w:t>
      </w:r>
    </w:p>
    <w:p>
      <w:pPr>
        <w:pStyle w:val="Heading1"/>
      </w:pPr>
      <w:r>
        <w:t>Timeline and responsibilities</w:t>
      </w:r>
    </w:p>
    <w:tbl>
      <w:tblPr>
        <w:tblStyle w:val="LightShading-Accent1"/>
        <w:tblW w:type="auto" w:w="0"/>
        <w:tblLayout w:type="fixed"/>
        <w:tblLook w:firstColumn="1" w:firstRow="1" w:lastColumn="0" w:lastRow="0" w:noHBand="0" w:noVBand="1" w:val="04A0"/>
      </w:tblPr>
      <w:tblGrid>
        <w:gridCol w:w="3384"/>
        <w:gridCol w:w="2664"/>
        <w:gridCol w:w="4032"/>
      </w:tblGrid>
      <w:tr>
        <w:trPr>
          <w:tblHeader/>
          <w:cantSplit/>
        </w:trPr>
        <w:tc>
          <w:tcPr>
            <w:tcW w:type="dxa" w:w="3384"/>
          </w:tcPr>
          <w:p>
            <w:pPr>
              <w:keepNext/>
            </w:pPr>
            <w:r>
              <w:rPr>
                <w:sz w:val="20"/>
              </w:rPr>
              <w:t>Phase</w:t>
            </w:r>
          </w:p>
        </w:tc>
        <w:tc>
          <w:tcPr>
            <w:tcW w:type="dxa" w:w="2664"/>
          </w:tcPr>
          <w:p>
            <w:pPr>
              <w:keepNext/>
            </w:pPr>
            <w:r>
              <w:rPr>
                <w:sz w:val="20"/>
              </w:rPr>
              <w:t>Deliverables</w:t>
            </w:r>
          </w:p>
        </w:tc>
        <w:tc>
          <w:tcPr>
            <w:tcW w:type="dxa" w:w="4032"/>
          </w:tcPr>
          <w:p>
            <w:pPr>
              <w:keepNext/>
            </w:pPr>
            <w:r>
              <w:rPr>
                <w:sz w:val="20"/>
              </w:rPr>
              <w:t>Owner and completion gate</w:t>
            </w:r>
          </w:p>
        </w:tc>
      </w:tr>
      <w:tr>
        <w:trPr>
          <w:cantSplit/>
        </w:trPr>
        <w:tc>
          <w:tcPr>
            <w:tcW w:type="dxa" w:w="3384"/>
          </w:tcPr>
          <w:p>
            <w:pPr>
              <w:keepNext/>
            </w:pPr>
            <w:r>
              <w:rPr>
                <w:sz w:val="20"/>
              </w:rPr>
              <w:t>Week 1 planning</w:t>
            </w:r>
          </w:p>
        </w:tc>
        <w:tc>
          <w:tcPr>
            <w:tcW w:type="dxa" w:w="2664"/>
          </w:tcPr>
          <w:p>
            <w:pPr>
              <w:keepNext/>
            </w:pPr>
            <w:r>
              <w:rPr>
                <w:sz w:val="20"/>
              </w:rPr>
              <w:t>Scope, personas, use cases, risks and milestones</w:t>
            </w:r>
          </w:p>
        </w:tc>
        <w:tc>
          <w:tcPr>
            <w:tcW w:type="dxa" w:w="4032"/>
          </w:tcPr>
          <w:p>
            <w:pPr>
              <w:keepNext/>
            </w:pPr>
            <w:r>
              <w:rPr>
                <w:sz w:val="20"/>
              </w:rPr>
              <w:t>Project lead; scope and requirement review.</w:t>
            </w:r>
          </w:p>
        </w:tc>
      </w:tr>
      <w:tr>
        <w:trPr>
          <w:cantSplit/>
        </w:trPr>
        <w:tc>
          <w:tcPr>
            <w:tcW w:type="dxa" w:w="3384"/>
          </w:tcPr>
          <w:p>
            <w:pPr>
              <w:keepNext w:val="0"/>
            </w:pPr>
            <w:r>
              <w:rPr>
                <w:sz w:val="20"/>
              </w:rPr>
              <w:t>Week 2 design</w:t>
            </w:r>
          </w:p>
        </w:tc>
        <w:tc>
          <w:tcPr>
            <w:tcW w:type="dxa" w:w="2664"/>
          </w:tcPr>
          <w:p>
            <w:pPr>
              <w:keepNext w:val="0"/>
            </w:pPr>
            <w:r>
              <w:rPr>
                <w:sz w:val="20"/>
              </w:rPr>
              <w:t>Page layouts, interaction maps and accessible wireframes</w:t>
            </w:r>
          </w:p>
        </w:tc>
        <w:tc>
          <w:tcPr>
            <w:tcW w:type="dxa" w:w="4032"/>
          </w:tcPr>
          <w:p>
            <w:pPr>
              <w:keepNext w:val="0"/>
            </w:pPr>
            <w:r>
              <w:rPr>
                <w:sz w:val="20"/>
              </w:rPr>
              <w:t>UX lead; journey and accessibility review.</w:t>
            </w:r>
          </w:p>
        </w:tc>
      </w:tr>
      <w:tr>
        <w:trPr>
          <w:cantSplit/>
        </w:trPr>
        <w:tc>
          <w:tcPr>
            <w:tcW w:type="dxa" w:w="3384"/>
          </w:tcPr>
          <w:p>
            <w:pPr>
              <w:keepNext w:val="0"/>
            </w:pPr>
            <w:r>
              <w:rPr>
                <w:sz w:val="20"/>
              </w:rPr>
              <w:t>Week 3 architecture</w:t>
            </w:r>
          </w:p>
        </w:tc>
        <w:tc>
          <w:tcPr>
            <w:tcW w:type="dxa" w:w="2664"/>
          </w:tcPr>
          <w:p>
            <w:pPr>
              <w:keepNext w:val="0"/>
            </w:pPr>
            <w:r>
              <w:rPr>
                <w:sz w:val="20"/>
              </w:rPr>
              <w:t>Relational schema, API contract and integration design</w:t>
            </w:r>
          </w:p>
        </w:tc>
        <w:tc>
          <w:tcPr>
            <w:tcW w:type="dxa" w:w="4032"/>
          </w:tcPr>
          <w:p>
            <w:pPr>
              <w:keepNext w:val="0"/>
            </w:pPr>
            <w:r>
              <w:rPr>
                <w:sz w:val="20"/>
              </w:rPr>
              <w:t>Backend lead; schema and contract review.</w:t>
            </w:r>
          </w:p>
        </w:tc>
      </w:tr>
      <w:tr>
        <w:trPr>
          <w:cantSplit/>
        </w:trPr>
        <w:tc>
          <w:tcPr>
            <w:tcW w:type="dxa" w:w="3384"/>
          </w:tcPr>
          <w:p>
            <w:pPr>
              <w:keepNext w:val="0"/>
            </w:pPr>
            <w:r>
              <w:rPr>
                <w:sz w:val="20"/>
              </w:rPr>
              <w:t>Week 4 assurance</w:t>
            </w:r>
          </w:p>
        </w:tc>
        <w:tc>
          <w:tcPr>
            <w:tcW w:type="dxa" w:w="2664"/>
          </w:tcPr>
          <w:p>
            <w:pPr>
              <w:keepNext w:val="0"/>
            </w:pPr>
            <w:r>
              <w:rPr>
                <w:sz w:val="20"/>
              </w:rPr>
              <w:t>Threat model, compliance mapping and recovery plan</w:t>
            </w:r>
          </w:p>
        </w:tc>
        <w:tc>
          <w:tcPr>
            <w:tcW w:type="dxa" w:w="4032"/>
          </w:tcPr>
          <w:p>
            <w:pPr>
              <w:keepNext w:val="0"/>
            </w:pPr>
            <w:r>
              <w:rPr>
                <w:sz w:val="20"/>
              </w:rPr>
              <w:t>Security lead; readiness review.</w:t>
            </w:r>
          </w:p>
        </w:tc>
      </w:tr>
      <w:tr>
        <w:trPr>
          <w:cantSplit/>
        </w:trPr>
        <w:tc>
          <w:tcPr>
            <w:tcW w:type="dxa" w:w="3384"/>
          </w:tcPr>
          <w:p>
            <w:pPr>
              <w:keepNext w:val="0"/>
            </w:pPr>
            <w:r>
              <w:rPr>
                <w:sz w:val="20"/>
              </w:rPr>
              <w:t>Later weeks 5 to 8</w:t>
            </w:r>
          </w:p>
        </w:tc>
        <w:tc>
          <w:tcPr>
            <w:tcW w:type="dxa" w:w="2664"/>
          </w:tcPr>
          <w:p>
            <w:pPr>
              <w:keepNext w:val="0"/>
            </w:pPr>
            <w:r>
              <w:rPr>
                <w:sz w:val="20"/>
              </w:rPr>
              <w:t>Implement, test, pilot and evaluate</w:t>
            </w:r>
          </w:p>
        </w:tc>
        <w:tc>
          <w:tcPr>
            <w:tcW w:type="dxa" w:w="4032"/>
          </w:tcPr>
          <w:p>
            <w:pPr>
              <w:keepNext w:val="0"/>
            </w:pPr>
            <w:r>
              <w:rPr>
                <w:sz w:val="20"/>
              </w:rPr>
              <w:t>Engineering and department owners; authorized pilot only.</w:t>
            </w:r>
          </w:p>
        </w:tc>
      </w:tr>
    </w:tbl>
    <w:p>
      <w:pPr>
        <w:pStyle w:val="Heading1"/>
      </w:pPr>
      <w:r>
        <w:t>Risks and mitigations</w:t>
      </w:r>
    </w:p>
    <w:p>
      <w:r>
        <w:t>A risk register in docs/risk_register.csv assigns likelihood, impact, mitigation, and an accountable owner. The largest risks are unauthorized record access, uncertain integration contracts, inaccessible forms, malicious uploads, and staff workload. Mitigations include ownership checks on every object, mock adapters until provider approval, manual accessibility evaluation, upload quarantine, and a department queue with escalation.</w:t>
      </w:r>
    </w:p>
    <w:p>
      <w:r>
        <w:t>Weekly reviews will update risks and dependencies. Unresolved critical security findings block a pilot. Scope changes require a revised acceptance criterion and timeline; integration delays will not be concealed as completed functionality. The content owner signs off all service descriptions before public release.</w:t>
      </w:r>
    </w:p>
    <w:p>
      <w:pPr>
        <w:pStyle w:val="Heading1"/>
      </w:pPr>
      <w:r>
        <w:t>Evaluation and next steps</w:t>
      </w:r>
    </w:p>
    <w:p>
      <w:r>
        <w:t>The internship deliverable is accepted when all four reports are self-contained, their technical examples are consistent, each requested section is present, and every submission description exceeds 200 words. Schema syntax and API structure are checked as design artifacts. Prototype checks assess layout and journey clarity; they do not demonstrate production security or legal compliance.</w:t>
      </w:r>
    </w:p>
    <w:p>
      <w:r>
        <w:t>The next project phase should validate the personas with representative residents, confirm department workflows, select approved infrastructure, and convert the requirements into implementation tickets. Baseline usability and performance measurements must then replace the proposed targets with evidence.</w:t>
      </w:r>
    </w:p>
    <w:p>
      <w:pPr>
        <w:pStyle w:val="Heading1"/>
      </w:pPr>
      <w:r>
        <w:t>Public references</w:t>
      </w:r>
    </w:p>
    <w:p>
      <w:r>
        <w:t>[GIGW] National Informatics Centre. Guidelines for Indian Government Websites and Apps version 3. https://guidelines.india.gov.in/. Accessed or reference checked 12 October 2026. Deployment owners must review current versions.</w:t>
      </w:r>
    </w:p>
    <w:p>
      <w:r>
        <w:t>[WCAG] World Wide Web Consortium. Web Content Accessibility Guidelines 2.2. https://www.w3.org/TR/WCAG22/. Accessed or reference checked 12 October 2026. Deployment owners must review current versions.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Project Planning and Requirements Analysis</dc:title>
  <dc:subject>E governance internship project planning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