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Front End Design and User Experience Strategy</w:t>
      </w:r>
    </w:p>
    <w:p>
      <w:r>
        <w:t>CivicServe e governance and digital services portal</w:t>
      </w:r>
    </w:p>
    <w:p>
      <w:r>
        <w:t>Internship planning deliverable | 12 October 2026</w:t>
      </w:r>
    </w:p>
    <w:p>
      <w:pPr>
        <w:pStyle w:val="Heading1"/>
      </w:pPr>
      <w:r>
        <w:t>Design direction</w:t>
      </w:r>
    </w:p>
    <w:p>
      <w:r>
        <w:t>CivicServe will use a restrained navy and teal interface with clear service names, generous spacing, and readable typography. The design prioritizes finding a service, understanding requirements, completing a form, and tracking progress. A persistent notice identifies prototype screens as an educational concept. The wireframes are static design artifacts; their buttons do not submit applications.</w:t>
      </w:r>
    </w:p>
    <w:p>
      <w:r>
        <w:t>The recommended implementation uses Django templates with progressive JavaScript enhancement. This reduces the separate client authentication surface and supports usable server-rendered pages on slower connections. CSS components and interaction rules remain reusable if a separate front end is introduced later.</w:t>
      </w:r>
    </w:p>
    <w:p>
      <w:pPr>
        <w:pStyle w:val="Heading1"/>
      </w:pPr>
      <w:r>
        <w:t>Information architecture</w:t>
      </w:r>
    </w:p>
    <w:p>
      <w:r>
        <w:t>Public navigation contains Home, Services, Help, Accessibility, and Privacy. Signed-in residents additionally see My applications, Grievances, and Profile. Staff navigation presents a department queue and assigned applications; administrator navigation exposes service content and role management. Navigation visibility improves clarity, but authorization must still be enforced on the server.</w:t>
      </w:r>
    </w:p>
    <w:p>
      <w:r>
        <w:t>Pages are organized around user tasks rather than department terminology. Service categories are Certificates and Civic support in the illustrative catalogue. Search results expose eligibility summaries and required evidence before a resident starts an application.</w:t>
      </w:r>
    </w:p>
    <w:p>
      <w:pPr>
        <w:pStyle w:val="Heading1"/>
      </w:pPr>
      <w:r>
        <w:t>Interaction maps</w:t>
      </w:r>
    </w:p>
    <w:p>
      <w:r>
        <w:t>Citizen journey: landing page &gt; service catalogue &gt; service details &gt; sign in if needed &gt; draft form &gt; upload and scan feedback &gt; review and privacy notice &gt; submit &gt; acknowledgement &gt; tracked status. Changes requested returns the citizen to an editable revision with the officer comment preserved. Network failure retains the draft and offers a retry with the same idempotency key.</w:t>
      </w:r>
    </w:p>
    <w:p>
      <w:r>
        <w:t>Officer journey: sign in with staff controls &gt; department queue &gt; assigned request &gt; review history and clean evidence &gt; request information or decide &gt; confirm reason &gt; updated history and queued notification. Grievance journey: category &gt; description &gt; review &gt; reference &gt; response. Each journey separates task completion from delivery of a notification; a failed SMS must not undo a submitted application.</w:t>
      </w:r>
    </w:p>
    <w:p>
      <w:pPr>
        <w:pStyle w:val="Heading1"/>
      </w:pPr>
      <w:r>
        <w:t>Page wireframe descriptions</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Page</w:t>
            </w:r>
          </w:p>
        </w:tc>
        <w:tc>
          <w:tcPr>
            <w:tcW w:type="dxa" w:w="2664"/>
          </w:tcPr>
          <w:p>
            <w:pPr>
              <w:keepNext/>
            </w:pPr>
            <w:r>
              <w:rPr>
                <w:sz w:val="20"/>
              </w:rPr>
              <w:t>Structure</w:t>
            </w:r>
          </w:p>
        </w:tc>
        <w:tc>
          <w:tcPr>
            <w:tcW w:type="dxa" w:w="4032"/>
          </w:tcPr>
          <w:p>
            <w:pPr>
              <w:keepNext/>
            </w:pPr>
            <w:r>
              <w:rPr>
                <w:sz w:val="20"/>
              </w:rPr>
              <w:t>Important states</w:t>
            </w:r>
          </w:p>
        </w:tc>
      </w:tr>
      <w:tr>
        <w:trPr>
          <w:cantSplit/>
        </w:trPr>
        <w:tc>
          <w:tcPr>
            <w:tcW w:type="dxa" w:w="3384"/>
          </w:tcPr>
          <w:p>
            <w:pPr>
              <w:keepNext/>
            </w:pPr>
            <w:r>
              <w:rPr>
                <w:sz w:val="20"/>
              </w:rPr>
              <w:t>Home</w:t>
            </w:r>
          </w:p>
        </w:tc>
        <w:tc>
          <w:tcPr>
            <w:tcW w:type="dxa" w:w="2664"/>
          </w:tcPr>
          <w:p>
            <w:pPr>
              <w:keepNext/>
            </w:pPr>
            <w:r>
              <w:rPr>
                <w:sz w:val="20"/>
              </w:rPr>
              <w:t>Identity notice, navigation, service search, categories and help</w:t>
            </w:r>
          </w:p>
        </w:tc>
        <w:tc>
          <w:tcPr>
            <w:tcW w:type="dxa" w:w="4032"/>
          </w:tcPr>
          <w:p>
            <w:pPr>
              <w:keepNext/>
            </w:pPr>
            <w:r>
              <w:rPr>
                <w:sz w:val="20"/>
              </w:rPr>
              <w:t>No search results; degraded service notice.</w:t>
            </w:r>
          </w:p>
        </w:tc>
      </w:tr>
      <w:tr>
        <w:trPr>
          <w:cantSplit/>
        </w:trPr>
        <w:tc>
          <w:tcPr>
            <w:tcW w:type="dxa" w:w="3384"/>
          </w:tcPr>
          <w:p>
            <w:pPr>
              <w:keepNext w:val="0"/>
            </w:pPr>
            <w:r>
              <w:rPr>
                <w:sz w:val="20"/>
              </w:rPr>
              <w:t>Service details</w:t>
            </w:r>
          </w:p>
        </w:tc>
        <w:tc>
          <w:tcPr>
            <w:tcW w:type="dxa" w:w="2664"/>
          </w:tcPr>
          <w:p>
            <w:pPr>
              <w:keepNext w:val="0"/>
            </w:pPr>
            <w:r>
              <w:rPr>
                <w:sz w:val="20"/>
              </w:rPr>
              <w:t>Title, eligibility, evidence list, steps and apply link</w:t>
            </w:r>
          </w:p>
        </w:tc>
        <w:tc>
          <w:tcPr>
            <w:tcW w:type="dxa" w:w="4032"/>
          </w:tcPr>
          <w:p>
            <w:pPr>
              <w:keepNext w:val="0"/>
            </w:pPr>
            <w:r>
              <w:rPr>
                <w:sz w:val="20"/>
              </w:rPr>
              <w:t>Unavailable service; translated content pending review.</w:t>
            </w:r>
          </w:p>
        </w:tc>
      </w:tr>
      <w:tr>
        <w:trPr>
          <w:cantSplit/>
        </w:trPr>
        <w:tc>
          <w:tcPr>
            <w:tcW w:type="dxa" w:w="3384"/>
          </w:tcPr>
          <w:p>
            <w:pPr>
              <w:keepNext w:val="0"/>
            </w:pPr>
            <w:r>
              <w:rPr>
                <w:sz w:val="20"/>
              </w:rPr>
              <w:t>Application form</w:t>
            </w:r>
          </w:p>
        </w:tc>
        <w:tc>
          <w:tcPr>
            <w:tcW w:type="dxa" w:w="2664"/>
          </w:tcPr>
          <w:p>
            <w:pPr>
              <w:keepNext w:val="0"/>
            </w:pPr>
            <w:r>
              <w:rPr>
                <w:sz w:val="20"/>
              </w:rPr>
              <w:t>Heading, progress, labelled fields, upload state and save action</w:t>
            </w:r>
          </w:p>
        </w:tc>
        <w:tc>
          <w:tcPr>
            <w:tcW w:type="dxa" w:w="4032"/>
          </w:tcPr>
          <w:p>
            <w:pPr>
              <w:keepNext w:val="0"/>
            </w:pPr>
            <w:r>
              <w:rPr>
                <w:sz w:val="20"/>
              </w:rPr>
              <w:t>Validation errors, saved draft, pending scan and network retry.</w:t>
            </w:r>
          </w:p>
        </w:tc>
      </w:tr>
      <w:tr>
        <w:trPr>
          <w:cantSplit/>
        </w:trPr>
        <w:tc>
          <w:tcPr>
            <w:tcW w:type="dxa" w:w="3384"/>
          </w:tcPr>
          <w:p>
            <w:pPr>
              <w:keepNext w:val="0"/>
            </w:pPr>
            <w:r>
              <w:rPr>
                <w:sz w:val="20"/>
              </w:rPr>
              <w:t>Review and acknowledgement</w:t>
            </w:r>
          </w:p>
        </w:tc>
        <w:tc>
          <w:tcPr>
            <w:tcW w:type="dxa" w:w="2664"/>
          </w:tcPr>
          <w:p>
            <w:pPr>
              <w:keepNext w:val="0"/>
            </w:pPr>
            <w:r>
              <w:rPr>
                <w:sz w:val="20"/>
              </w:rPr>
              <w:t>Readable values, edit links, privacy notice and reference</w:t>
            </w:r>
          </w:p>
        </w:tc>
        <w:tc>
          <w:tcPr>
            <w:tcW w:type="dxa" w:w="4032"/>
          </w:tcPr>
          <w:p>
            <w:pPr>
              <w:keepNext w:val="0"/>
            </w:pPr>
            <w:r>
              <w:rPr>
                <w:sz w:val="20"/>
              </w:rPr>
              <w:t>Expired session; duplicate retry returns original reference.</w:t>
            </w:r>
          </w:p>
        </w:tc>
      </w:tr>
      <w:tr>
        <w:trPr>
          <w:cantSplit/>
        </w:trPr>
        <w:tc>
          <w:tcPr>
            <w:tcW w:type="dxa" w:w="3384"/>
          </w:tcPr>
          <w:p>
            <w:pPr>
              <w:keepNext w:val="0"/>
            </w:pPr>
            <w:r>
              <w:rPr>
                <w:sz w:val="20"/>
              </w:rPr>
              <w:t>My applications</w:t>
            </w:r>
          </w:p>
        </w:tc>
        <w:tc>
          <w:tcPr>
            <w:tcW w:type="dxa" w:w="2664"/>
          </w:tcPr>
          <w:p>
            <w:pPr>
              <w:keepNext w:val="0"/>
            </w:pPr>
            <w:r>
              <w:rPr>
                <w:sz w:val="20"/>
              </w:rPr>
              <w:t>Reference cards, service name, text status and last update</w:t>
            </w:r>
          </w:p>
        </w:tc>
        <w:tc>
          <w:tcPr>
            <w:tcW w:type="dxa" w:w="4032"/>
          </w:tcPr>
          <w:p>
            <w:pPr>
              <w:keepNext w:val="0"/>
            </w:pPr>
            <w:r>
              <w:rPr>
                <w:sz w:val="20"/>
              </w:rPr>
              <w:t>Empty list; paginated history.</w:t>
            </w:r>
          </w:p>
        </w:tc>
      </w:tr>
      <w:tr>
        <w:trPr>
          <w:cantSplit/>
        </w:trPr>
        <w:tc>
          <w:tcPr>
            <w:tcW w:type="dxa" w:w="3384"/>
          </w:tcPr>
          <w:p>
            <w:pPr>
              <w:keepNext w:val="0"/>
            </w:pPr>
            <w:r>
              <w:rPr>
                <w:sz w:val="20"/>
              </w:rPr>
              <w:t>Staff queue</w:t>
            </w:r>
          </w:p>
        </w:tc>
        <w:tc>
          <w:tcPr>
            <w:tcW w:type="dxa" w:w="2664"/>
          </w:tcPr>
          <w:p>
            <w:pPr>
              <w:keepNext w:val="0"/>
            </w:pPr>
            <w:r>
              <w:rPr>
                <w:sz w:val="20"/>
              </w:rPr>
              <w:t>Department filter, counts, assignments and review links</w:t>
            </w:r>
          </w:p>
        </w:tc>
        <w:tc>
          <w:tcPr>
            <w:tcW w:type="dxa" w:w="4032"/>
          </w:tcPr>
          <w:p>
            <w:pPr>
              <w:keepNext w:val="0"/>
            </w:pPr>
            <w:r>
              <w:rPr>
                <w:sz w:val="20"/>
              </w:rPr>
              <w:t>No permission; conflict after concurrent update.</w:t>
            </w:r>
          </w:p>
        </w:tc>
      </w:tr>
      <w:tr>
        <w:trPr>
          <w:cantSplit/>
        </w:trPr>
        <w:tc>
          <w:tcPr>
            <w:tcW w:type="dxa" w:w="3384"/>
          </w:tcPr>
          <w:p>
            <w:pPr>
              <w:keepNext w:val="0"/>
            </w:pPr>
            <w:r>
              <w:rPr>
                <w:sz w:val="20"/>
              </w:rPr>
              <w:t>Help and grievance</w:t>
            </w:r>
          </w:p>
        </w:tc>
        <w:tc>
          <w:tcPr>
            <w:tcW w:type="dxa" w:w="2664"/>
          </w:tcPr>
          <w:p>
            <w:pPr>
              <w:keepNext w:val="0"/>
            </w:pPr>
            <w:r>
              <w:rPr>
                <w:sz w:val="20"/>
              </w:rPr>
              <w:t>Contact route, FAQ and grievance entry</w:t>
            </w:r>
          </w:p>
        </w:tc>
        <w:tc>
          <w:tcPr>
            <w:tcW w:type="dxa" w:w="4032"/>
          </w:tcPr>
          <w:p>
            <w:pPr>
              <w:keepNext w:val="0"/>
            </w:pPr>
            <w:r>
              <w:rPr>
                <w:sz w:val="20"/>
              </w:rPr>
              <w:t>Ticket received; service assistance unavailable.</w:t>
            </w:r>
          </w:p>
        </w:tc>
      </w:tr>
    </w:tbl>
    <w:p>
      <w:pPr>
        <w:pStyle w:val="Heading1"/>
      </w:pPr>
      <w:r>
        <w:t>Component specification</w:t>
      </w:r>
    </w:p>
    <w:p>
      <w:r>
        <w:t>The design system contains a skip link, landmark navigation, breadcrumb trail, service card, primary and secondary buttons, field labels, error summary, progress steps, upload row, status badge, timeline, and alert panel. Status badges always contain text so color is never the only cue. Primary actions use verbs such as Save draft, Review application, and Submit application.</w:t>
      </w:r>
    </w:p>
    <w:p>
      <w:r>
        <w:t>The spacing scale is 4, 8, 12, 16, 24, 32, and 48 pixels. Body text starts at 16 pixels with a 1.5 line height. Text uses #142B45 on white; the primary action is #075E54 with white text. Implementation must measure actual text and component contrast, including hover, disabled, and error states. The wireframe provides a layout example rather than a conformance certificate.</w:t>
      </w:r>
    </w:p>
    <w:p>
      <w:pPr>
        <w:pStyle w:val="Heading1"/>
      </w:pPr>
      <w:r>
        <w:t>Responsive behavior</w:t>
      </w:r>
    </w:p>
    <w:p>
      <w:r>
        <w:t>At narrow widths, navigation wraps, service cards stack, and form fields occupy one column. At 768 pixels, forms may use two columns for short related inputs while long descriptions remain full width. At wider screens, content stays within a 1120-pixel maximum width. Tables need an accessible small-screen alternative or a labelled scroll region; no essential action may disappear.</w:t>
      </w:r>
    </w:p>
    <w:p>
      <w:r>
        <w:t>Content should work at 320 CSS pixels without page-wide horizontal scrolling, apart from genuinely two-dimensional content allowed by the accessibility criteria. Tap targets should meet WCAG 2.2 AA target-size requirements, with 44-pixel controls preferred for comfort. Sticky elements must not obscure keyboard focus.</w:t>
      </w:r>
    </w:p>
    <w:p>
      <w:pPr>
        <w:pStyle w:val="Heading1"/>
      </w:pPr>
      <w:r>
        <w:t>Accessible forms and feedback</w:t>
      </w:r>
    </w:p>
    <w:p>
      <w:r>
        <w:t>Every input needs a persistent label and a programmatic association. Mandatory fields are identified in text. Validation returns a summary linked to each erroneous field, preserves valid values, and explains how to correct the problem. Dynamic save or upload messages use a suitable live region without repeatedly interrupting a screen reader [WCAG].</w:t>
      </w:r>
    </w:p>
    <w:p>
      <w:r>
        <w:t>The implementation plan includes a logical heading hierarchy, landmarks, a skip link, visible focus, keyboard access, meaningful link text, and text alternatives for informative images. Session-expiry warning and extension controls must be accessible. CAPTCHA alternatives, if later introduced, require specific accessibility evaluation. Automated checks are followed by keyboard-only, screen-reader, zoom, and mobile checks.</w:t>
      </w:r>
    </w:p>
    <w:p>
      <w:pPr>
        <w:pStyle w:val="Heading1"/>
      </w:pPr>
      <w:r>
        <w:t>Content and language strategy</w:t>
      </w:r>
    </w:p>
    <w:p>
      <w:r>
        <w:t>Plain-language instructions explain the purpose of each evidence item and avoid requesting redundant personal information. Dates use explicit month names where ambiguity is possible. The service detail screen names the owning department, support channel, last content review, and expected processing time once approved by the department.</w:t>
      </w:r>
    </w:p>
    <w:p>
      <w:r>
        <w:t>English and Tamil content are stored as reviewed translations with a visible language control. A selected language persists without changing permissions or losing draft information. Translation cannot silently substitute different eligibility requirements; content review must check both languages before publication.</w:t>
      </w:r>
    </w:p>
    <w:p>
      <w:pPr>
        <w:pStyle w:val="Heading1"/>
      </w:pPr>
      <w:r>
        <w:t>Front end architecture and quality review</w:t>
      </w:r>
    </w:p>
    <w:p>
      <w:r>
        <w:t>The planned front end separates base layout, service components, citizen pages, and staff pages. Django forms provide server-side validation; JavaScript enhances draft indicators and uploads without becoming the authorization boundary. Static assets are versioned and cacheable; private responses must not be cached publicly.</w:t>
      </w:r>
    </w:p>
    <w:p>
      <w:r>
        <w:t>UX review should recruit five representative users across the proposed personas and ask them to locate a service, identify evidence, save a draft, recover from an error, and track a request. A proposed first acceptance target is at least four successful journeys out of five, with no unresolved critical keyboard barrier. These are future study criteria, not reported results. Record task failures, assistance needed, and time on task before refining the design.</w:t>
      </w:r>
    </w:p>
    <w:p>
      <w:pPr>
        <w:pStyle w:val="Heading1"/>
      </w:pPr>
      <w:r>
        <w:t>Supporting artifacts and handoff</w:t>
      </w:r>
    </w:p>
    <w:p>
      <w:r>
        <w:t>design/wireframes.html provides responsive home, form, tracking, and staff-queue layout panels. design/user_journeys.mmd records the planned flows in Mermaid source, and docs/acceptance_checklist.md maps user experience checks to review evidence. The wireframe uses fictitious data and cannot authenticate, persist, or transmit personal information.</w:t>
      </w:r>
    </w:p>
    <w:p>
      <w:r>
        <w:t>The handoff is ready for implementation once department content is approved, language reviewers are identified, and accessibility acceptance tasks have owners. Visual approval alone cannot replace end-to-end authorization and form tests.</w:t>
      </w:r>
    </w:p>
    <w:p>
      <w:pPr>
        <w:pStyle w:val="Heading1"/>
      </w:pPr>
      <w:r>
        <w:t>Public references</w:t>
      </w:r>
    </w:p>
    <w:p>
      <w:r>
        <w:t>[GIGW] National Informatics Centre. Guidelines for Indian Government Websites and Apps version 3. https://guidelines.india.gov.in/. Accessed or reference checked 12 October 2026. Deployment owners must review current versions.</w:t>
      </w:r>
    </w:p>
    <w:p>
      <w:r>
        <w:t>[WCAG] World Wide Web Consortium. Web Content Accessibility Guidelines 2.2. https://www.w3.org/TR/WCAG22/. Accessed or reference checked 12 October 2026. Deployment owners must review current versions.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Front End Design and User Experience Strategy</dc:title>
  <dc:subject>E governance internship project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