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Back End Integration and API Strategy</w:t>
      </w:r>
    </w:p>
    <w:p>
      <w:r>
        <w:t>CivicServe e governance and digital services portal</w:t>
      </w:r>
    </w:p>
    <w:p>
      <w:r>
        <w:t>Internship planning deliverable | 12 October 2026</w:t>
      </w:r>
    </w:p>
    <w:p>
      <w:pPr>
        <w:pStyle w:val="Heading1"/>
      </w:pPr>
      <w:r>
        <w:t>Architecture recommendation</w:t>
      </w:r>
    </w:p>
    <w:p>
      <w:r>
        <w:t>The proposed architecture is a Django application with Django REST Framework, PostgreSQL, a private object store, and a background job queue for scans and notifications. Server-rendered pages and JSON endpoints share business rules. Redis and a worker can support queued jobs after implementation; the planning package does not deploy these services.</w:t>
      </w:r>
    </w:p>
    <w:p>
      <w:r>
        <w:t>A reverse proxy terminates approved TLS, applies request limits, and forwards traffic to stateless application instances. PostgreSQL remains the transactional source of truth. An outbox record committed with a submission prevents a lost notification when a worker or external provider is unavailable. This package supplies design contracts and a starter SQL schema, not a production migration set.</w:t>
      </w:r>
    </w:p>
    <w:p>
      <w:pPr>
        <w:pStyle w:val="Heading1"/>
      </w:pPr>
      <w:r>
        <w:t>Technology choices and tradeoffs</w:t>
      </w:r>
    </w:p>
    <w:p>
      <w:r>
        <w:t>Django offers form handling, session authentication, CSRF mechanisms, and an ORM; its documented security facilities still require correct configuration and deployment [DJANGO]. PostgreSQL provides transactions and relational constraints suited to request ownership and event histories [POSTGRES]. Django REST Framework supports consistent serialization and validation for versioned JSON endpoints.</w:t>
      </w:r>
    </w:p>
    <w:p>
      <w:r>
        <w:t>The initial system uses secure server sessions with CSRF protection rather than storing bearer tokens in browser local storage. An external identity provider may later require an approved OpenID Connect integration. A single modular application is preferred initially because it is easier to test and operate than independently deployed services at this scale.</w:t>
      </w:r>
    </w:p>
    <w:p>
      <w:pPr>
        <w:pStyle w:val="Heading1"/>
      </w:pPr>
      <w:r>
        <w:t>Database entities and relationships</w:t>
      </w:r>
    </w:p>
    <w:tbl>
      <w:tblPr>
        <w:tblStyle w:val="LightShading-Accent1"/>
        <w:tblW w:type="auto" w:w="0"/>
        <w:tblLayout w:type="fixed"/>
        <w:tblLook w:firstColumn="1" w:firstRow="1" w:lastColumn="0" w:lastRow="0" w:noHBand="0" w:noVBand="1" w:val="04A0"/>
      </w:tblPr>
      <w:tblGrid>
        <w:gridCol w:w="3384"/>
        <w:gridCol w:w="2664"/>
        <w:gridCol w:w="4032"/>
      </w:tblGrid>
      <w:tr>
        <w:trPr>
          <w:tblHeader/>
          <w:cantSplit/>
        </w:trPr>
        <w:tc>
          <w:tcPr>
            <w:tcW w:type="dxa" w:w="3384"/>
          </w:tcPr>
          <w:p>
            <w:pPr>
              <w:keepNext/>
            </w:pPr>
            <w:r>
              <w:rPr>
                <w:sz w:val="20"/>
              </w:rPr>
              <w:t>Entity</w:t>
            </w:r>
          </w:p>
        </w:tc>
        <w:tc>
          <w:tcPr>
            <w:tcW w:type="dxa" w:w="2664"/>
          </w:tcPr>
          <w:p>
            <w:pPr>
              <w:keepNext/>
            </w:pPr>
            <w:r>
              <w:rPr>
                <w:sz w:val="20"/>
              </w:rPr>
              <w:t>Purpose</w:t>
            </w:r>
          </w:p>
        </w:tc>
        <w:tc>
          <w:tcPr>
            <w:tcW w:type="dxa" w:w="4032"/>
          </w:tcPr>
          <w:p>
            <w:pPr>
              <w:keepNext/>
            </w:pPr>
            <w:r>
              <w:rPr>
                <w:sz w:val="20"/>
              </w:rPr>
              <w:t>Key relationship or constraint</w:t>
            </w:r>
          </w:p>
        </w:tc>
      </w:tr>
      <w:tr>
        <w:trPr>
          <w:cantSplit/>
        </w:trPr>
        <w:tc>
          <w:tcPr>
            <w:tcW w:type="dxa" w:w="3384"/>
          </w:tcPr>
          <w:p>
            <w:pPr>
              <w:keepNext/>
            </w:pPr>
            <w:r>
              <w:rPr>
                <w:sz w:val="20"/>
              </w:rPr>
              <w:t>portal_users</w:t>
            </w:r>
          </w:p>
        </w:tc>
        <w:tc>
          <w:tcPr>
            <w:tcW w:type="dxa" w:w="2664"/>
          </w:tcPr>
          <w:p>
            <w:pPr>
              <w:keepNext/>
            </w:pPr>
            <w:r>
              <w:rPr>
                <w:sz w:val="20"/>
              </w:rPr>
              <w:t>Account identity and role metadata</w:t>
            </w:r>
          </w:p>
        </w:tc>
        <w:tc>
          <w:tcPr>
            <w:tcW w:type="dxa" w:w="4032"/>
          </w:tcPr>
          <w:p>
            <w:pPr>
              <w:keepNext/>
            </w:pPr>
            <w:r>
              <w:rPr>
                <w:sz w:val="20"/>
              </w:rPr>
              <w:t>Unique email; no plain text password.</w:t>
            </w:r>
          </w:p>
        </w:tc>
      </w:tr>
      <w:tr>
        <w:trPr>
          <w:cantSplit/>
        </w:trPr>
        <w:tc>
          <w:tcPr>
            <w:tcW w:type="dxa" w:w="3384"/>
          </w:tcPr>
          <w:p>
            <w:pPr>
              <w:keepNext w:val="0"/>
            </w:pPr>
            <w:r>
              <w:rPr>
                <w:sz w:val="20"/>
              </w:rPr>
              <w:t>departments and services</w:t>
            </w:r>
          </w:p>
        </w:tc>
        <w:tc>
          <w:tcPr>
            <w:tcW w:type="dxa" w:w="2664"/>
          </w:tcPr>
          <w:p>
            <w:pPr>
              <w:keepNext w:val="0"/>
            </w:pPr>
            <w:r>
              <w:rPr>
                <w:sz w:val="20"/>
              </w:rPr>
              <w:t>Service ownership and content</w:t>
            </w:r>
          </w:p>
        </w:tc>
        <w:tc>
          <w:tcPr>
            <w:tcW w:type="dxa" w:w="4032"/>
          </w:tcPr>
          <w:p>
            <w:pPr>
              <w:keepNext w:val="0"/>
            </w:pPr>
            <w:r>
              <w:rPr>
                <w:sz w:val="20"/>
              </w:rPr>
              <w:t>Service references one owning department.</w:t>
            </w:r>
          </w:p>
        </w:tc>
      </w:tr>
      <w:tr>
        <w:trPr>
          <w:cantSplit/>
        </w:trPr>
        <w:tc>
          <w:tcPr>
            <w:tcW w:type="dxa" w:w="3384"/>
          </w:tcPr>
          <w:p>
            <w:pPr>
              <w:keepNext w:val="0"/>
            </w:pPr>
            <w:r>
              <w:rPr>
                <w:sz w:val="20"/>
              </w:rPr>
              <w:t>applications</w:t>
            </w:r>
          </w:p>
        </w:tc>
        <w:tc>
          <w:tcPr>
            <w:tcW w:type="dxa" w:w="2664"/>
          </w:tcPr>
          <w:p>
            <w:pPr>
              <w:keepNext w:val="0"/>
            </w:pPr>
            <w:r>
              <w:rPr>
                <w:sz w:val="20"/>
              </w:rPr>
              <w:t>Citizen request and current workflow state</w:t>
            </w:r>
          </w:p>
        </w:tc>
        <w:tc>
          <w:tcPr>
            <w:tcW w:type="dxa" w:w="4032"/>
          </w:tcPr>
          <w:p>
            <w:pPr>
              <w:keepNext w:val="0"/>
            </w:pPr>
            <w:r>
              <w:rPr>
                <w:sz w:val="20"/>
              </w:rPr>
              <w:t>Citizen and service foreign keys; revision version for conflicts.</w:t>
            </w:r>
          </w:p>
        </w:tc>
      </w:tr>
      <w:tr>
        <w:trPr>
          <w:cantSplit/>
        </w:trPr>
        <w:tc>
          <w:tcPr>
            <w:tcW w:type="dxa" w:w="3384"/>
          </w:tcPr>
          <w:p>
            <w:pPr>
              <w:keepNext w:val="0"/>
            </w:pPr>
            <w:r>
              <w:rPr>
                <w:sz w:val="20"/>
              </w:rPr>
              <w:t>documents</w:t>
            </w:r>
          </w:p>
        </w:tc>
        <w:tc>
          <w:tcPr>
            <w:tcW w:type="dxa" w:w="2664"/>
          </w:tcPr>
          <w:p>
            <w:pPr>
              <w:keepNext w:val="0"/>
            </w:pPr>
            <w:r>
              <w:rPr>
                <w:sz w:val="20"/>
              </w:rPr>
              <w:t>Private storage metadata and scan status</w:t>
            </w:r>
          </w:p>
        </w:tc>
        <w:tc>
          <w:tcPr>
            <w:tcW w:type="dxa" w:w="4032"/>
          </w:tcPr>
          <w:p>
            <w:pPr>
              <w:keepNext w:val="0"/>
            </w:pPr>
            <w:r>
              <w:rPr>
                <w:sz w:val="20"/>
              </w:rPr>
              <w:t>One application per document; no public object URL.</w:t>
            </w:r>
          </w:p>
        </w:tc>
      </w:tr>
      <w:tr>
        <w:trPr>
          <w:cantSplit/>
        </w:trPr>
        <w:tc>
          <w:tcPr>
            <w:tcW w:type="dxa" w:w="3384"/>
          </w:tcPr>
          <w:p>
            <w:pPr>
              <w:keepNext w:val="0"/>
            </w:pPr>
            <w:r>
              <w:rPr>
                <w:sz w:val="20"/>
              </w:rPr>
              <w:t>application_events</w:t>
            </w:r>
          </w:p>
        </w:tc>
        <w:tc>
          <w:tcPr>
            <w:tcW w:type="dxa" w:w="2664"/>
          </w:tcPr>
          <w:p>
            <w:pPr>
              <w:keepNext w:val="0"/>
            </w:pPr>
            <w:r>
              <w:rPr>
                <w:sz w:val="20"/>
              </w:rPr>
              <w:t>Ordered status and decision history</w:t>
            </w:r>
          </w:p>
        </w:tc>
        <w:tc>
          <w:tcPr>
            <w:tcW w:type="dxa" w:w="4032"/>
          </w:tcPr>
          <w:p>
            <w:pPr>
              <w:keepNext w:val="0"/>
            </w:pPr>
            <w:r>
              <w:rPr>
                <w:sz w:val="20"/>
              </w:rPr>
              <w:t>Actor and application references; events append through controlled roles.</w:t>
            </w:r>
          </w:p>
        </w:tc>
      </w:tr>
      <w:tr>
        <w:trPr>
          <w:cantSplit/>
        </w:trPr>
        <w:tc>
          <w:tcPr>
            <w:tcW w:type="dxa" w:w="3384"/>
          </w:tcPr>
          <w:p>
            <w:pPr>
              <w:keepNext w:val="0"/>
            </w:pPr>
            <w:r>
              <w:rPr>
                <w:sz w:val="20"/>
              </w:rPr>
              <w:t>grievances and feedback</w:t>
            </w:r>
          </w:p>
        </w:tc>
        <w:tc>
          <w:tcPr>
            <w:tcW w:type="dxa" w:w="2664"/>
          </w:tcPr>
          <w:p>
            <w:pPr>
              <w:keepNext w:val="0"/>
            </w:pPr>
            <w:r>
              <w:rPr>
                <w:sz w:val="20"/>
              </w:rPr>
              <w:t>Support and optional evaluation</w:t>
            </w:r>
          </w:p>
        </w:tc>
        <w:tc>
          <w:tcPr>
            <w:tcW w:type="dxa" w:w="4032"/>
          </w:tcPr>
          <w:p>
            <w:pPr>
              <w:keepNext w:val="0"/>
            </w:pPr>
            <w:r>
              <w:rPr>
                <w:sz w:val="20"/>
              </w:rPr>
              <w:t>Citizen ownership; feedback tied to completed application.</w:t>
            </w:r>
          </w:p>
        </w:tc>
      </w:tr>
      <w:tr>
        <w:trPr>
          <w:cantSplit/>
        </w:trPr>
        <w:tc>
          <w:tcPr>
            <w:tcW w:type="dxa" w:w="3384"/>
          </w:tcPr>
          <w:p>
            <w:pPr>
              <w:keepNext w:val="0"/>
            </w:pPr>
            <w:r>
              <w:rPr>
                <w:sz w:val="20"/>
              </w:rPr>
              <w:t>consent_records</w:t>
            </w:r>
          </w:p>
        </w:tc>
        <w:tc>
          <w:tcPr>
            <w:tcW w:type="dxa" w:w="2664"/>
          </w:tcPr>
          <w:p>
            <w:pPr>
              <w:keepNext w:val="0"/>
            </w:pPr>
            <w:r>
              <w:rPr>
                <w:sz w:val="20"/>
              </w:rPr>
              <w:t>Purpose and notice evidence where applicable</w:t>
            </w:r>
          </w:p>
        </w:tc>
        <w:tc>
          <w:tcPr>
            <w:tcW w:type="dxa" w:w="4032"/>
          </w:tcPr>
          <w:p>
            <w:pPr>
              <w:keepNext w:val="0"/>
            </w:pPr>
            <w:r>
              <w:rPr>
                <w:sz w:val="20"/>
              </w:rPr>
              <w:t>Versioned notice and timestamp; not a universal legal basis.</w:t>
            </w:r>
          </w:p>
        </w:tc>
      </w:tr>
      <w:tr>
        <w:trPr>
          <w:cantSplit/>
        </w:trPr>
        <w:tc>
          <w:tcPr>
            <w:tcW w:type="dxa" w:w="3384"/>
          </w:tcPr>
          <w:p>
            <w:pPr>
              <w:keepNext w:val="0"/>
            </w:pPr>
            <w:r>
              <w:rPr>
                <w:sz w:val="20"/>
              </w:rPr>
              <w:t>audit_events and outbox_events</w:t>
            </w:r>
          </w:p>
        </w:tc>
        <w:tc>
          <w:tcPr>
            <w:tcW w:type="dxa" w:w="2664"/>
          </w:tcPr>
          <w:p>
            <w:pPr>
              <w:keepNext w:val="0"/>
            </w:pPr>
            <w:r>
              <w:rPr>
                <w:sz w:val="20"/>
              </w:rPr>
              <w:t>Security evidence and reliable jobs</w:t>
            </w:r>
          </w:p>
        </w:tc>
        <w:tc>
          <w:tcPr>
            <w:tcW w:type="dxa" w:w="4032"/>
          </w:tcPr>
          <w:p>
            <w:pPr>
              <w:keepNext w:val="0"/>
            </w:pPr>
            <w:r>
              <w:rPr>
                <w:sz w:val="20"/>
              </w:rPr>
              <w:t>Minimal event data; no secret or document content.</w:t>
            </w:r>
          </w:p>
        </w:tc>
      </w:tr>
    </w:tbl>
    <w:p>
      <w:pPr>
        <w:pStyle w:val="Heading1"/>
      </w:pPr>
      <w:r>
        <w:t>Schema constraints and storage policy</w:t>
      </w:r>
    </w:p>
    <w:p>
      <w:r>
        <w:t>database/schema.sql is a PostgreSQL-oriented starter schema with foreign keys, status checks, timestamps, and useful indexes. It expresses the conceptual relations requested in the assignment. Deployment requires reviewed migrations, appropriate database privileges, and workflow rules in the application; a status check alone does not enforce every permitted transition.</w:t>
      </w:r>
    </w:p>
    <w:p>
      <w:r>
        <w:t>Index application ownership and service queues, then measure query plans before adding further indexes. Store uploaded bytes in private storage; keep only storage keys, media type, size, and scan result in the database. Protect encryption keys separately. Use an approved departmental retention schedule for applications and evidence, while security-log retention follows applicable directions and policy.</w:t>
      </w:r>
    </w:p>
    <w:p>
      <w:pPr>
        <w:pStyle w:val="Heading1"/>
      </w:pPr>
      <w:r>
        <w:t>API catalogue and contract</w:t>
      </w:r>
    </w:p>
    <w:tbl>
      <w:tblPr>
        <w:tblStyle w:val="LightShading-Accent1"/>
        <w:tblW w:type="auto" w:w="0"/>
        <w:tblLayout w:type="fixed"/>
        <w:tblLook w:firstColumn="1" w:firstRow="1" w:lastColumn="0" w:lastRow="0" w:noHBand="0" w:noVBand="1" w:val="04A0"/>
      </w:tblPr>
      <w:tblGrid>
        <w:gridCol w:w="3384"/>
        <w:gridCol w:w="2664"/>
        <w:gridCol w:w="4032"/>
      </w:tblGrid>
      <w:tr>
        <w:trPr>
          <w:tblHeader/>
          <w:cantSplit/>
        </w:trPr>
        <w:tc>
          <w:tcPr>
            <w:tcW w:type="dxa" w:w="3384"/>
          </w:tcPr>
          <w:p>
            <w:pPr>
              <w:keepNext/>
            </w:pPr>
            <w:r>
              <w:rPr>
                <w:sz w:val="20"/>
              </w:rPr>
              <w:t>Method and endpoint</w:t>
            </w:r>
          </w:p>
        </w:tc>
        <w:tc>
          <w:tcPr>
            <w:tcW w:type="dxa" w:w="2664"/>
          </w:tcPr>
          <w:p>
            <w:pPr>
              <w:keepNext/>
            </w:pPr>
            <w:r>
              <w:rPr>
                <w:sz w:val="20"/>
              </w:rPr>
              <w:t>Permission</w:t>
            </w:r>
          </w:p>
        </w:tc>
        <w:tc>
          <w:tcPr>
            <w:tcW w:type="dxa" w:w="4032"/>
          </w:tcPr>
          <w:p>
            <w:pPr>
              <w:keepNext/>
            </w:pPr>
            <w:r>
              <w:rPr>
                <w:sz w:val="20"/>
              </w:rPr>
              <w:t>Result</w:t>
            </w:r>
          </w:p>
        </w:tc>
      </w:tr>
      <w:tr>
        <w:trPr>
          <w:cantSplit/>
        </w:trPr>
        <w:tc>
          <w:tcPr>
            <w:tcW w:type="dxa" w:w="3384"/>
          </w:tcPr>
          <w:p>
            <w:pPr>
              <w:keepNext/>
            </w:pPr>
            <w:r>
              <w:rPr>
                <w:sz w:val="20"/>
              </w:rPr>
              <w:t>GET /api/v1/services</w:t>
            </w:r>
          </w:p>
        </w:tc>
        <w:tc>
          <w:tcPr>
            <w:tcW w:type="dxa" w:w="2664"/>
          </w:tcPr>
          <w:p>
            <w:pPr>
              <w:keepNext/>
            </w:pPr>
            <w:r>
              <w:rPr>
                <w:sz w:val="20"/>
              </w:rPr>
              <w:t>Public</w:t>
            </w:r>
          </w:p>
        </w:tc>
        <w:tc>
          <w:tcPr>
            <w:tcW w:type="dxa" w:w="4032"/>
          </w:tcPr>
          <w:p>
            <w:pPr>
              <w:keepNext/>
            </w:pPr>
            <w:r>
              <w:rPr>
                <w:sz w:val="20"/>
              </w:rPr>
              <w:t>Paginated published service summaries.</w:t>
            </w:r>
          </w:p>
        </w:tc>
      </w:tr>
      <w:tr>
        <w:trPr>
          <w:cantSplit/>
        </w:trPr>
        <w:tc>
          <w:tcPr>
            <w:tcW w:type="dxa" w:w="3384"/>
          </w:tcPr>
          <w:p>
            <w:pPr>
              <w:keepNext w:val="0"/>
            </w:pPr>
            <w:r>
              <w:rPr>
                <w:sz w:val="20"/>
              </w:rPr>
              <w:t>GET /api/v1/services/{id}</w:t>
            </w:r>
          </w:p>
        </w:tc>
        <w:tc>
          <w:tcPr>
            <w:tcW w:type="dxa" w:w="2664"/>
          </w:tcPr>
          <w:p>
            <w:pPr>
              <w:keepNext w:val="0"/>
            </w:pPr>
            <w:r>
              <w:rPr>
                <w:sz w:val="20"/>
              </w:rPr>
              <w:t>Public</w:t>
            </w:r>
          </w:p>
        </w:tc>
        <w:tc>
          <w:tcPr>
            <w:tcW w:type="dxa" w:w="4032"/>
          </w:tcPr>
          <w:p>
            <w:pPr>
              <w:keepNext w:val="0"/>
            </w:pPr>
            <w:r>
              <w:rPr>
                <w:sz w:val="20"/>
              </w:rPr>
              <w:t>Eligibility, evidence and department information.</w:t>
            </w:r>
          </w:p>
        </w:tc>
      </w:tr>
      <w:tr>
        <w:trPr>
          <w:cantSplit/>
        </w:trPr>
        <w:tc>
          <w:tcPr>
            <w:tcW w:type="dxa" w:w="3384"/>
          </w:tcPr>
          <w:p>
            <w:pPr>
              <w:keepNext w:val="0"/>
            </w:pPr>
            <w:r>
              <w:rPr>
                <w:sz w:val="20"/>
              </w:rPr>
              <w:t>POST /api/v1/applications</w:t>
            </w:r>
          </w:p>
        </w:tc>
        <w:tc>
          <w:tcPr>
            <w:tcW w:type="dxa" w:w="2664"/>
          </w:tcPr>
          <w:p>
            <w:pPr>
              <w:keepNext w:val="0"/>
            </w:pPr>
            <w:r>
              <w:rPr>
                <w:sz w:val="20"/>
              </w:rPr>
              <w:t>Authenticated citizen</w:t>
            </w:r>
          </w:p>
        </w:tc>
        <w:tc>
          <w:tcPr>
            <w:tcW w:type="dxa" w:w="4032"/>
          </w:tcPr>
          <w:p>
            <w:pPr>
              <w:keepNext w:val="0"/>
            </w:pPr>
            <w:r>
              <w:rPr>
                <w:sz w:val="20"/>
              </w:rPr>
              <w:t>201 draft; server chooses citizen identity.</w:t>
            </w:r>
          </w:p>
        </w:tc>
      </w:tr>
      <w:tr>
        <w:trPr>
          <w:cantSplit/>
        </w:trPr>
        <w:tc>
          <w:tcPr>
            <w:tcW w:type="dxa" w:w="3384"/>
          </w:tcPr>
          <w:p>
            <w:pPr>
              <w:keepNext w:val="0"/>
            </w:pPr>
            <w:r>
              <w:rPr>
                <w:sz w:val="20"/>
              </w:rPr>
              <w:t>GET /api/v1/applications</w:t>
            </w:r>
          </w:p>
        </w:tc>
        <w:tc>
          <w:tcPr>
            <w:tcW w:type="dxa" w:w="2664"/>
          </w:tcPr>
          <w:p>
            <w:pPr>
              <w:keepNext w:val="0"/>
            </w:pPr>
            <w:r>
              <w:rPr>
                <w:sz w:val="20"/>
              </w:rPr>
              <w:t>Authenticated citizen</w:t>
            </w:r>
          </w:p>
        </w:tc>
        <w:tc>
          <w:tcPr>
            <w:tcW w:type="dxa" w:w="4032"/>
          </w:tcPr>
          <w:p>
            <w:pPr>
              <w:keepNext w:val="0"/>
            </w:pPr>
            <w:r>
              <w:rPr>
                <w:sz w:val="20"/>
              </w:rPr>
              <w:t>Only owned records; paginated response.</w:t>
            </w:r>
          </w:p>
        </w:tc>
      </w:tr>
      <w:tr>
        <w:trPr>
          <w:cantSplit/>
        </w:trPr>
        <w:tc>
          <w:tcPr>
            <w:tcW w:type="dxa" w:w="3384"/>
          </w:tcPr>
          <w:p>
            <w:pPr>
              <w:keepNext w:val="0"/>
            </w:pPr>
            <w:r>
              <w:rPr>
                <w:sz w:val="20"/>
              </w:rPr>
              <w:t>GET or PATCH /api/v1/applications/{id}</w:t>
            </w:r>
          </w:p>
        </w:tc>
        <w:tc>
          <w:tcPr>
            <w:tcW w:type="dxa" w:w="2664"/>
          </w:tcPr>
          <w:p>
            <w:pPr>
              <w:keepNext w:val="0"/>
            </w:pPr>
            <w:r>
              <w:rPr>
                <w:sz w:val="20"/>
              </w:rPr>
              <w:t>Owning citizen</w:t>
            </w:r>
          </w:p>
        </w:tc>
        <w:tc>
          <w:tcPr>
            <w:tcW w:type="dxa" w:w="4032"/>
          </w:tcPr>
          <w:p>
            <w:pPr>
              <w:keepNext w:val="0"/>
            </w:pPr>
            <w:r>
              <w:rPr>
                <w:sz w:val="20"/>
              </w:rPr>
              <w:t>Read or revise permitted states; version check.</w:t>
            </w:r>
          </w:p>
        </w:tc>
      </w:tr>
      <w:tr>
        <w:trPr>
          <w:cantSplit/>
        </w:trPr>
        <w:tc>
          <w:tcPr>
            <w:tcW w:type="dxa" w:w="3384"/>
          </w:tcPr>
          <w:p>
            <w:pPr>
              <w:keepNext w:val="0"/>
            </w:pPr>
            <w:r>
              <w:rPr>
                <w:sz w:val="20"/>
              </w:rPr>
              <w:t>POST /api/v1/applications/{id}/submit</w:t>
            </w:r>
          </w:p>
        </w:tc>
        <w:tc>
          <w:tcPr>
            <w:tcW w:type="dxa" w:w="2664"/>
          </w:tcPr>
          <w:p>
            <w:pPr>
              <w:keepNext w:val="0"/>
            </w:pPr>
            <w:r>
              <w:rPr>
                <w:sz w:val="20"/>
              </w:rPr>
              <w:t>Owning citizen</w:t>
            </w:r>
          </w:p>
        </w:tc>
        <w:tc>
          <w:tcPr>
            <w:tcW w:type="dxa" w:w="4032"/>
          </w:tcPr>
          <w:p>
            <w:pPr>
              <w:keepNext w:val="0"/>
            </w:pPr>
            <w:r>
              <w:rPr>
                <w:sz w:val="20"/>
              </w:rPr>
              <w:t>Idempotent validated submission.</w:t>
            </w:r>
          </w:p>
        </w:tc>
      </w:tr>
      <w:tr>
        <w:trPr>
          <w:cantSplit/>
        </w:trPr>
        <w:tc>
          <w:tcPr>
            <w:tcW w:type="dxa" w:w="3384"/>
          </w:tcPr>
          <w:p>
            <w:pPr>
              <w:keepNext w:val="0"/>
            </w:pPr>
            <w:r>
              <w:rPr>
                <w:sz w:val="20"/>
              </w:rPr>
              <w:t>POST /api/v1/applications/{id}/documents</w:t>
            </w:r>
          </w:p>
        </w:tc>
        <w:tc>
          <w:tcPr>
            <w:tcW w:type="dxa" w:w="2664"/>
          </w:tcPr>
          <w:p>
            <w:pPr>
              <w:keepNext w:val="0"/>
            </w:pPr>
            <w:r>
              <w:rPr>
                <w:sz w:val="20"/>
              </w:rPr>
              <w:t>Owning citizen</w:t>
            </w:r>
          </w:p>
        </w:tc>
        <w:tc>
          <w:tcPr>
            <w:tcW w:type="dxa" w:w="4032"/>
          </w:tcPr>
          <w:p>
            <w:pPr>
              <w:keepNext w:val="0"/>
            </w:pPr>
            <w:r>
              <w:rPr>
                <w:sz w:val="20"/>
              </w:rPr>
              <w:t>202 quarantined upload awaiting scan.</w:t>
            </w:r>
          </w:p>
        </w:tc>
      </w:tr>
      <w:tr>
        <w:trPr>
          <w:cantSplit/>
        </w:trPr>
        <w:tc>
          <w:tcPr>
            <w:tcW w:type="dxa" w:w="3384"/>
          </w:tcPr>
          <w:p>
            <w:pPr>
              <w:keepNext w:val="0"/>
            </w:pPr>
            <w:r>
              <w:rPr>
                <w:sz w:val="20"/>
              </w:rPr>
              <w:t>PATCH /api/v1/staff/applications/{id}</w:t>
            </w:r>
          </w:p>
        </w:tc>
        <w:tc>
          <w:tcPr>
            <w:tcW w:type="dxa" w:w="2664"/>
          </w:tcPr>
          <w:p>
            <w:pPr>
              <w:keepNext w:val="0"/>
            </w:pPr>
            <w:r>
              <w:rPr>
                <w:sz w:val="20"/>
              </w:rPr>
              <w:t>Assigned departmental officer</w:t>
            </w:r>
          </w:p>
        </w:tc>
        <w:tc>
          <w:tcPr>
            <w:tcW w:type="dxa" w:w="4032"/>
          </w:tcPr>
          <w:p>
            <w:pPr>
              <w:keepNext w:val="0"/>
            </w:pPr>
            <w:r>
              <w:rPr>
                <w:sz w:val="20"/>
              </w:rPr>
              <w:t>Reasoned allowed transition with audit event.</w:t>
            </w:r>
          </w:p>
        </w:tc>
      </w:tr>
      <w:tr>
        <w:trPr>
          <w:cantSplit/>
        </w:trPr>
        <w:tc>
          <w:tcPr>
            <w:tcW w:type="dxa" w:w="3384"/>
          </w:tcPr>
          <w:p>
            <w:pPr>
              <w:keepNext w:val="0"/>
            </w:pPr>
            <w:r>
              <w:rPr>
                <w:sz w:val="20"/>
              </w:rPr>
              <w:t>POST /api/v1/grievances</w:t>
            </w:r>
          </w:p>
        </w:tc>
        <w:tc>
          <w:tcPr>
            <w:tcW w:type="dxa" w:w="2664"/>
          </w:tcPr>
          <w:p>
            <w:pPr>
              <w:keepNext w:val="0"/>
            </w:pPr>
            <w:r>
              <w:rPr>
                <w:sz w:val="20"/>
              </w:rPr>
              <w:t>Authenticated citizen</w:t>
            </w:r>
          </w:p>
        </w:tc>
        <w:tc>
          <w:tcPr>
            <w:tcW w:type="dxa" w:w="4032"/>
          </w:tcPr>
          <w:p>
            <w:pPr>
              <w:keepNext w:val="0"/>
            </w:pPr>
            <w:r>
              <w:rPr>
                <w:sz w:val="20"/>
              </w:rPr>
              <w:t>201 grievance reference.</w:t>
            </w:r>
          </w:p>
        </w:tc>
      </w:tr>
    </w:tbl>
    <w:p>
      <w:pPr>
        <w:pStyle w:val="Heading1"/>
      </w:pPr>
      <w:r>
        <w:t>Request and response examples</w:t>
      </w:r>
    </w:p>
    <w:p>
      <w:r>
        <w:t>A draft request sends {"service_id":1,"form_data":{"purpose":"Address verification"}}. The server derives the citizen from the session and returns {"id":42,"reference":"CS-2026-000042","status":"draft","version":1}. The client cannot set officer roles, citizen identity, or final decision fields.</w:t>
      </w:r>
    </w:p>
    <w:p>
      <w:r>
        <w:t>Submission sends a version in the JSON body and an Idempotency-Key header. The server validates fields and clean required documents inside a transaction, then records the status event and outbox job. A retry with the same key and payload returns the original response; the same key with different content returns 409. The OpenAPI contract in api/openapi.json defines the core paths, schema shapes, session cookie, and CSRF-header requirement.</w:t>
      </w:r>
    </w:p>
    <w:p>
      <w:pPr>
        <w:pStyle w:val="Heading1"/>
      </w:pPr>
      <w:r>
        <w:t>Authentication and object authorization</w:t>
      </w:r>
    </w:p>
    <w:p>
      <w:r>
        <w:t>Require HTTPS, HttpOnly and Secure session cookies, appropriate SameSite policy, CSRF protection on unsafe browser requests, secure password hashing through the framework, and staff multifactor authentication in the deployment design. Rate limits and generic login failures reduce enumeration and credential abuse. Do not add a custom plain-text credential table.</w:t>
      </w:r>
    </w:p>
    <w:p>
      <w:r>
        <w:t>Every application query applies ownership or departmental staff scope before returning a record. A guessed foreign reference must not expose another resident request. Staff decisions require assignment and department membership, not merely a staff label. Role changes use a separately authorized administrative operation and generate an audit record.</w:t>
      </w:r>
    </w:p>
    <w:p>
      <w:pPr>
        <w:pStyle w:val="Heading1"/>
      </w:pPr>
      <w:r>
        <w:t>Workflow and error handling</w:t>
      </w:r>
    </w:p>
    <w:p>
      <w:r>
        <w:t>Permitted transitions are draft to submitted; submitted to under_review; under_review to changes_requested, approved, or rejected; changes_requested to submitted. A citizen may cancel draft, submitted, or changes_requested requests according to department policy. Decisions are terminal in this first design. Revision checks protect against stale writes; row locks or atomic version predicates prevent double decisions.</w:t>
      </w:r>
    </w:p>
    <w:p>
      <w:r>
        <w:t>400 reports invalid fields, 401 an absent session, 403 a prohibited action, 404 a missing or concealed foreign object, 409 a stale version or invalid transition, 413 an oversized upload, 429 throttling, and 503 a temporary dependency failure. Errors contain code, a safe message, field errors when relevant, and a request identifier, never stack traces or credentials.</w:t>
      </w:r>
    </w:p>
    <w:p>
      <w:pPr>
        <w:pStyle w:val="Heading1"/>
      </w:pPr>
      <w:r>
        <w:t>Provider integration and reliability</w:t>
      </w:r>
    </w:p>
    <w:p>
      <w:r>
        <w:t>Approved adapters may later connect an email or SMS provider and an authorized government document service. Provider credentials belong in a secret manager, never the repository. Use bounded timeouts, capped retries with backoff, idempotent processing, and a dead-letter queue with operator review. Webhooks, if introduced, require signature verification and replay protection.</w:t>
      </w:r>
    </w:p>
    <w:p>
      <w:r>
        <w:t>No third-party payment or identity integration is delivered by this package. A future payment service needs provider transaction identifiers, verified callbacks, reconciliation, and failure recovery before fees can be collected. The citizen sees an application submission confirmation even if notification delivery remains pending.</w:t>
      </w:r>
    </w:p>
    <w:p>
      <w:pPr>
        <w:pStyle w:val="Heading1"/>
      </w:pPr>
      <w:r>
        <w:t>Scalability maintenance and testing</w:t>
      </w:r>
    </w:p>
    <w:p>
      <w:r>
        <w:t>Scale stateless application instances behind a load balancer after measuring demand. Pool database connections and move scans and notifications off the request path. Cache only public catalogue data. Backups, restoration, slow-query monitoring, queue depth, and privacy-safe error metrics are required operational capabilities.</w:t>
      </w:r>
    </w:p>
    <w:p>
      <w:r>
        <w:t>Implementation tests must cover ownership, staff scope, role escalation, CSRF, all allowed and denied transitions, concurrent decisions, idempotent retries, malicious and oversized uploads, and notification failures. A staging load test must record workload, p95 latency, error rate, and configuration. The repository validation script checks planning-artifact consistency only; it must not be described as a passing back-end integration test.</w:t>
      </w:r>
    </w:p>
    <w:p>
      <w:pPr>
        <w:pStyle w:val="Heading1"/>
      </w:pPr>
      <w:r>
        <w:t>Public references</w:t>
      </w:r>
    </w:p>
    <w:p>
      <w:r>
        <w:t>[DJANGO] Django Software Foundation. Security in Django. https://docs.djangoproject.com/en/stable/topics/security/. Accessed or reference checked 12 October 2026. Deployment owners must review current versions.</w:t>
      </w:r>
    </w:p>
    <w:p>
      <w:r>
        <w:t>[POSTGRES] PostgreSQL Global Development Group. Database documentation. https://www.postgresql.org/docs/current/. Accessed or reference checked 12 October 2026. Deployment owners must review current versions.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Back End Integration and API Strategy</dc:title>
  <dc:subject>E governance internship project planning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