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Security Compliance and Data Protection Strategy</w:t>
      </w:r>
    </w:p>
    <w:p>
      <w:r>
        <w:t>CivicServe e governance and digital services portal</w:t>
      </w:r>
    </w:p>
    <w:p>
      <w:r>
        <w:t>Internship planning deliverable | 12 October 2026</w:t>
      </w:r>
    </w:p>
    <w:p>
      <w:pPr>
        <w:pStyle w:val="Heading1"/>
      </w:pPr>
      <w:r>
        <w:t>Security objective and applicability</w:t>
      </w:r>
    </w:p>
    <w:p>
      <w:r>
        <w:t>The proposed security strategy protects resident identity information, submitted evidence, decision integrity, and service availability. It combines least privilege, verified workflows, private storage, monitoring, and tested recovery. This is a planning artifact for an illustrative Indian public-service portal; it is not a compliance certificate or an implemented control assessment.</w:t>
      </w:r>
    </w:p>
    <w:p>
      <w:r>
        <w:t>Before a pilot, the accountable department must approve the data inventory, legal basis, retention schedule, infrastructure, processor contracts, and incident contacts. The privacy owner must verify the currently effective DPDP provisions and notifications at deployment time using official sources [DPDP]. Do not assume all provisions commence simultaneously or that every public-sector workflow uses consent as its legal basis.</w:t>
      </w:r>
    </w:p>
    <w:p>
      <w:pPr>
        <w:pStyle w:val="Heading1"/>
      </w:pPr>
      <w:r>
        <w:t>Assets trust boundaries and threat analysis</w:t>
      </w:r>
    </w:p>
    <w:p>
      <w:r>
        <w:t>Assets include account credentials, citizen profiles, application fields, evidence objects, decisions, administrator privileges, audit trails, backups, and encryption keys. Trust boundaries separate public clients from the proxy, the proxy from the application, the application from PostgreSQL and private storage, and internal workers from external providers.</w:t>
      </w:r>
    </w:p>
    <w:p>
      <w:r>
        <w:t>Threat analysis considers spoofed accounts, unauthorized object access, forged decisions, malicious uploads, injection, browser script injection, CSRF, privilege escalation, secret exposure, service exhaustion, backup theft, and audit tampering. The diagram in design/security_flow.mmd records control boundaries; docs/risk_register.csv assigns treatment owners and review priorities.</w:t>
      </w:r>
    </w:p>
    <w:p>
      <w:pPr>
        <w:pStyle w:val="Heading1"/>
      </w:pPr>
      <w:r>
        <w:t>Threats controls and verification</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Threat</w:t>
            </w:r>
          </w:p>
        </w:tc>
        <w:tc>
          <w:tcPr>
            <w:tcW w:type="dxa" w:w="2664"/>
          </w:tcPr>
          <w:p>
            <w:pPr>
              <w:keepNext/>
            </w:pPr>
            <w:r>
              <w:rPr>
                <w:sz w:val="20"/>
              </w:rPr>
              <w:t>Planned control</w:t>
            </w:r>
          </w:p>
        </w:tc>
        <w:tc>
          <w:tcPr>
            <w:tcW w:type="dxa" w:w="4032"/>
          </w:tcPr>
          <w:p>
            <w:pPr>
              <w:keepNext/>
            </w:pPr>
            <w:r>
              <w:rPr>
                <w:sz w:val="20"/>
              </w:rPr>
              <w:t>Required evidence</w:t>
            </w:r>
          </w:p>
        </w:tc>
      </w:tr>
      <w:tr>
        <w:trPr>
          <w:cantSplit/>
        </w:trPr>
        <w:tc>
          <w:tcPr>
            <w:tcW w:type="dxa" w:w="3384"/>
          </w:tcPr>
          <w:p>
            <w:pPr>
              <w:keepNext/>
            </w:pPr>
            <w:r>
              <w:rPr>
                <w:sz w:val="20"/>
              </w:rPr>
              <w:t>Foreign record access</w:t>
            </w:r>
          </w:p>
        </w:tc>
        <w:tc>
          <w:tcPr>
            <w:tcW w:type="dxa" w:w="2664"/>
          </w:tcPr>
          <w:p>
            <w:pPr>
              <w:keepNext/>
            </w:pPr>
            <w:r>
              <w:rPr>
                <w:sz w:val="20"/>
              </w:rPr>
              <w:t>Ownership and departmental query scope</w:t>
            </w:r>
          </w:p>
        </w:tc>
        <w:tc>
          <w:tcPr>
            <w:tcW w:type="dxa" w:w="4032"/>
          </w:tcPr>
          <w:p>
            <w:pPr>
              <w:keepNext/>
            </w:pPr>
            <w:r>
              <w:rPr>
                <w:sz w:val="20"/>
              </w:rPr>
              <w:t>Negative tests using two citizens and two departments.</w:t>
            </w:r>
          </w:p>
        </w:tc>
      </w:tr>
      <w:tr>
        <w:trPr>
          <w:cantSplit/>
        </w:trPr>
        <w:tc>
          <w:tcPr>
            <w:tcW w:type="dxa" w:w="3384"/>
          </w:tcPr>
          <w:p>
            <w:pPr>
              <w:keepNext w:val="0"/>
            </w:pPr>
            <w:r>
              <w:rPr>
                <w:sz w:val="20"/>
              </w:rPr>
              <w:t>Credential abuse</w:t>
            </w:r>
          </w:p>
        </w:tc>
        <w:tc>
          <w:tcPr>
            <w:tcW w:type="dxa" w:w="2664"/>
          </w:tcPr>
          <w:p>
            <w:pPr>
              <w:keepNext w:val="0"/>
            </w:pPr>
            <w:r>
              <w:rPr>
                <w:sz w:val="20"/>
              </w:rPr>
              <w:t>Rate limits, secure hashing and staff MFA</w:t>
            </w:r>
          </w:p>
        </w:tc>
        <w:tc>
          <w:tcPr>
            <w:tcW w:type="dxa" w:w="4032"/>
          </w:tcPr>
          <w:p>
            <w:pPr>
              <w:keepNext w:val="0"/>
            </w:pPr>
            <w:r>
              <w:rPr>
                <w:sz w:val="20"/>
              </w:rPr>
              <w:t>Login limits, recovery abuse tests and MFA review.</w:t>
            </w:r>
          </w:p>
        </w:tc>
      </w:tr>
      <w:tr>
        <w:trPr>
          <w:cantSplit/>
        </w:trPr>
        <w:tc>
          <w:tcPr>
            <w:tcW w:type="dxa" w:w="3384"/>
          </w:tcPr>
          <w:p>
            <w:pPr>
              <w:keepNext w:val="0"/>
            </w:pPr>
            <w:r>
              <w:rPr>
                <w:sz w:val="20"/>
              </w:rPr>
              <w:t>Injection and stored script</w:t>
            </w:r>
          </w:p>
        </w:tc>
        <w:tc>
          <w:tcPr>
            <w:tcW w:type="dxa" w:w="2664"/>
          </w:tcPr>
          <w:p>
            <w:pPr>
              <w:keepNext w:val="0"/>
            </w:pPr>
            <w:r>
              <w:rPr>
                <w:sz w:val="20"/>
              </w:rPr>
              <w:t>ORM parameters, validation and escaped output</w:t>
            </w:r>
          </w:p>
        </w:tc>
        <w:tc>
          <w:tcPr>
            <w:tcW w:type="dxa" w:w="4032"/>
          </w:tcPr>
          <w:p>
            <w:pPr>
              <w:keepNext w:val="0"/>
            </w:pPr>
            <w:r>
              <w:rPr>
                <w:sz w:val="20"/>
              </w:rPr>
              <w:t>Payload tests and template review.</w:t>
            </w:r>
          </w:p>
        </w:tc>
      </w:tr>
      <w:tr>
        <w:trPr>
          <w:cantSplit/>
        </w:trPr>
        <w:tc>
          <w:tcPr>
            <w:tcW w:type="dxa" w:w="3384"/>
          </w:tcPr>
          <w:p>
            <w:pPr>
              <w:keepNext w:val="0"/>
            </w:pPr>
            <w:r>
              <w:rPr>
                <w:sz w:val="20"/>
              </w:rPr>
              <w:t>Forged unsafe requests</w:t>
            </w:r>
          </w:p>
        </w:tc>
        <w:tc>
          <w:tcPr>
            <w:tcW w:type="dxa" w:w="2664"/>
          </w:tcPr>
          <w:p>
            <w:pPr>
              <w:keepNext w:val="0"/>
            </w:pPr>
            <w:r>
              <w:rPr>
                <w:sz w:val="20"/>
              </w:rPr>
              <w:t>CSRF tokens and session controls</w:t>
            </w:r>
          </w:p>
        </w:tc>
        <w:tc>
          <w:tcPr>
            <w:tcW w:type="dxa" w:w="4032"/>
          </w:tcPr>
          <w:p>
            <w:pPr>
              <w:keepNext w:val="0"/>
            </w:pPr>
            <w:r>
              <w:rPr>
                <w:sz w:val="20"/>
              </w:rPr>
              <w:t>Unsafe request without token is denied.</w:t>
            </w:r>
          </w:p>
        </w:tc>
      </w:tr>
      <w:tr>
        <w:trPr>
          <w:cantSplit/>
        </w:trPr>
        <w:tc>
          <w:tcPr>
            <w:tcW w:type="dxa" w:w="3384"/>
          </w:tcPr>
          <w:p>
            <w:pPr>
              <w:keepNext w:val="0"/>
            </w:pPr>
            <w:r>
              <w:rPr>
                <w:sz w:val="20"/>
              </w:rPr>
              <w:t>Malicious upload</w:t>
            </w:r>
          </w:p>
        </w:tc>
        <w:tc>
          <w:tcPr>
            <w:tcW w:type="dxa" w:w="2664"/>
          </w:tcPr>
          <w:p>
            <w:pPr>
              <w:keepNext w:val="0"/>
            </w:pPr>
            <w:r>
              <w:rPr>
                <w:sz w:val="20"/>
              </w:rPr>
              <w:t>Allowlist, size limit, quarantine and scanning</w:t>
            </w:r>
          </w:p>
        </w:tc>
        <w:tc>
          <w:tcPr>
            <w:tcW w:type="dxa" w:w="4032"/>
          </w:tcPr>
          <w:p>
            <w:pPr>
              <w:keepNext w:val="0"/>
            </w:pPr>
            <w:r>
              <w:rPr>
                <w:sz w:val="20"/>
              </w:rPr>
              <w:t>Blocked executable, MIME mismatch and infected test sample.</w:t>
            </w:r>
          </w:p>
        </w:tc>
      </w:tr>
      <w:tr>
        <w:trPr>
          <w:cantSplit/>
        </w:trPr>
        <w:tc>
          <w:tcPr>
            <w:tcW w:type="dxa" w:w="3384"/>
          </w:tcPr>
          <w:p>
            <w:pPr>
              <w:keepNext w:val="0"/>
            </w:pPr>
            <w:r>
              <w:rPr>
                <w:sz w:val="20"/>
              </w:rPr>
              <w:t>Decision tampering</w:t>
            </w:r>
          </w:p>
        </w:tc>
        <w:tc>
          <w:tcPr>
            <w:tcW w:type="dxa" w:w="2664"/>
          </w:tcPr>
          <w:p>
            <w:pPr>
              <w:keepNext w:val="0"/>
            </w:pPr>
            <w:r>
              <w:rPr>
                <w:sz w:val="20"/>
              </w:rPr>
              <w:t>Assignment, revision checks and audit events</w:t>
            </w:r>
          </w:p>
        </w:tc>
        <w:tc>
          <w:tcPr>
            <w:tcW w:type="dxa" w:w="4032"/>
          </w:tcPr>
          <w:p>
            <w:pPr>
              <w:keepNext w:val="0"/>
            </w:pPr>
            <w:r>
              <w:rPr>
                <w:sz w:val="20"/>
              </w:rPr>
              <w:t>Concurrent update conflict and immutable event access review.</w:t>
            </w:r>
          </w:p>
        </w:tc>
      </w:tr>
      <w:tr>
        <w:trPr>
          <w:cantSplit/>
        </w:trPr>
        <w:tc>
          <w:tcPr>
            <w:tcW w:type="dxa" w:w="3384"/>
          </w:tcPr>
          <w:p>
            <w:pPr>
              <w:keepNext w:val="0"/>
            </w:pPr>
            <w:r>
              <w:rPr>
                <w:sz w:val="20"/>
              </w:rPr>
              <w:t>Outage or ransomware</w:t>
            </w:r>
          </w:p>
        </w:tc>
        <w:tc>
          <w:tcPr>
            <w:tcW w:type="dxa" w:w="2664"/>
          </w:tcPr>
          <w:p>
            <w:pPr>
              <w:keepNext w:val="0"/>
            </w:pPr>
            <w:r>
              <w:rPr>
                <w:sz w:val="20"/>
              </w:rPr>
              <w:t>Isolated backups and restore exercises</w:t>
            </w:r>
          </w:p>
        </w:tc>
        <w:tc>
          <w:tcPr>
            <w:tcW w:type="dxa" w:w="4032"/>
          </w:tcPr>
          <w:p>
            <w:pPr>
              <w:keepNext w:val="0"/>
            </w:pPr>
            <w:r>
              <w:rPr>
                <w:sz w:val="20"/>
              </w:rPr>
              <w:t>Recorded recovery time and restored record reconciliation.</w:t>
            </w:r>
          </w:p>
        </w:tc>
      </w:tr>
    </w:tbl>
    <w:p>
      <w:pPr>
        <w:pStyle w:val="Heading1"/>
      </w:pPr>
      <w:r>
        <w:t>Framework mapping and governance</w:t>
      </w:r>
    </w:p>
    <w:p>
      <w:r>
        <w:t>Use ISO IEC 27001 as an information-security management reference for risk ownership, policy, asset management, access reviews, supplier controls, and corrective actions. Referencing the framework does not confer certification. Use security review checklists for application authorization, inputs, secrets, and logging; periodically reassess risks as service scope changes.</w:t>
      </w:r>
    </w:p>
    <w:p>
      <w:r>
        <w:t>The proposed governance roles are a department data owner, privacy owner, security lead, operations lead, and service content owner. Staff access is reviewed at least quarterly and revoked promptly on departure or reassignment. Critical security changes receive independent review before release. Maintain a register linking each control to its owner, test, evidence location, and review date.</w:t>
      </w:r>
    </w:p>
    <w:p>
      <w:pPr>
        <w:pStyle w:val="Heading1"/>
      </w:pPr>
      <w:r>
        <w:t>Privacy and data lifecycle</w:t>
      </w:r>
    </w:p>
    <w:p>
      <w:r>
        <w:t>Collect only fields justified by an approved service purpose. Publish a readable notice describing collection, use, retention, support contacts, and applicable rights. Record the notice version and consent evidence when consent is the valid basis; document other lawful grounds separately. Avoid collecting Aadhaar numbers or unrelated sensitive documents in the illustrative initial design.</w:t>
      </w:r>
    </w:p>
    <w:p>
      <w:r>
        <w:t>Residents need a tracked channel for access, correction, erasure, and grievance requests as applicable, with identity checks and the relevant statutory restrictions considered by the privacy owner. Proposed application retention is a department-approved configurable schedule, not a fixed universal period. Deletion must include primary storage, derived copies, and a defined backup-expiry process, subject to required records and legal holds.</w:t>
      </w:r>
    </w:p>
    <w:p>
      <w:pPr>
        <w:pStyle w:val="Heading1"/>
      </w:pPr>
      <w:r>
        <w:t>Encryption access control and evidence storage</w:t>
      </w:r>
    </w:p>
    <w:p>
      <w:r>
        <w:t>Require modern approved TLS in transit and managed encryption for database disks, evidence objects, and backups. Key-management permissions are separated from application-data administration, with rotation and access logs. Passwords are hashed using the framework supported configuration; passwords cannot be decrypted or logged. Production secrets come from a restricted secret manager.</w:t>
      </w:r>
    </w:p>
    <w:p>
      <w:r>
        <w:t>Evidence stays in private storage with randomized keys and short-lived downloads authorized for the application owner or assigned officer. New uploads are quarantined, checked for type and size, scanned, and served only after a clean result. Reject or quarantine files when scanning fails rather than silently treating them as clean. The worker and application use narrow service identities.</w:t>
      </w:r>
    </w:p>
    <w:p>
      <w:pPr>
        <w:pStyle w:val="Heading1"/>
      </w:pPr>
      <w:r>
        <w:t>Compliance checklist and evidence</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Reference</w:t>
            </w:r>
          </w:p>
        </w:tc>
        <w:tc>
          <w:tcPr>
            <w:tcW w:type="dxa" w:w="2664"/>
          </w:tcPr>
          <w:p>
            <w:pPr>
              <w:keepNext/>
            </w:pPr>
            <w:r>
              <w:rPr>
                <w:sz w:val="20"/>
              </w:rPr>
              <w:t>Action before launch</w:t>
            </w:r>
          </w:p>
        </w:tc>
        <w:tc>
          <w:tcPr>
            <w:tcW w:type="dxa" w:w="4032"/>
          </w:tcPr>
          <w:p>
            <w:pPr>
              <w:keepNext/>
            </w:pPr>
            <w:r>
              <w:rPr>
                <w:sz w:val="20"/>
              </w:rPr>
              <w:t>Owner and evidence</w:t>
            </w:r>
          </w:p>
        </w:tc>
      </w:tr>
      <w:tr>
        <w:trPr>
          <w:cantSplit/>
        </w:trPr>
        <w:tc>
          <w:tcPr>
            <w:tcW w:type="dxa" w:w="3384"/>
          </w:tcPr>
          <w:p>
            <w:pPr>
              <w:keepNext/>
            </w:pPr>
            <w:r>
              <w:rPr>
                <w:sz w:val="20"/>
              </w:rPr>
              <w:t>GIGW 3.0</w:t>
            </w:r>
          </w:p>
        </w:tc>
        <w:tc>
          <w:tcPr>
            <w:tcW w:type="dxa" w:w="2664"/>
          </w:tcPr>
          <w:p>
            <w:pPr>
              <w:keepNext/>
            </w:pPr>
            <w:r>
              <w:rPr>
                <w:sz w:val="20"/>
              </w:rPr>
              <w:t>Map applicable content, accessibility, security and governance controls</w:t>
            </w:r>
          </w:p>
        </w:tc>
        <w:tc>
          <w:tcPr>
            <w:tcW w:type="dxa" w:w="4032"/>
          </w:tcPr>
          <w:p>
            <w:pPr>
              <w:keepNext/>
            </w:pPr>
            <w:r>
              <w:rPr>
                <w:sz w:val="20"/>
              </w:rPr>
              <w:t>Content owner; reviewed compliance matrix.</w:t>
            </w:r>
          </w:p>
        </w:tc>
      </w:tr>
      <w:tr>
        <w:trPr>
          <w:cantSplit/>
        </w:trPr>
        <w:tc>
          <w:tcPr>
            <w:tcW w:type="dxa" w:w="3384"/>
          </w:tcPr>
          <w:p>
            <w:pPr>
              <w:keepNext w:val="0"/>
            </w:pPr>
            <w:r>
              <w:rPr>
                <w:sz w:val="20"/>
              </w:rPr>
              <w:t>WCAG 2.2 AA target</w:t>
            </w:r>
          </w:p>
        </w:tc>
        <w:tc>
          <w:tcPr>
            <w:tcW w:type="dxa" w:w="2664"/>
          </w:tcPr>
          <w:p>
            <w:pPr>
              <w:keepNext w:val="0"/>
            </w:pPr>
            <w:r>
              <w:rPr>
                <w:sz w:val="20"/>
              </w:rPr>
              <w:t>Run automated and manual accessibility evaluation</w:t>
            </w:r>
          </w:p>
        </w:tc>
        <w:tc>
          <w:tcPr>
            <w:tcW w:type="dxa" w:w="4032"/>
          </w:tcPr>
          <w:p>
            <w:pPr>
              <w:keepNext w:val="0"/>
            </w:pPr>
            <w:r>
              <w:rPr>
                <w:sz w:val="20"/>
              </w:rPr>
              <w:t>UX lead; keyboard, screen-reader and zoom results.</w:t>
            </w:r>
          </w:p>
        </w:tc>
      </w:tr>
      <w:tr>
        <w:trPr>
          <w:cantSplit/>
        </w:trPr>
        <w:tc>
          <w:tcPr>
            <w:tcW w:type="dxa" w:w="3384"/>
          </w:tcPr>
          <w:p>
            <w:pPr>
              <w:keepNext w:val="0"/>
            </w:pPr>
            <w:r>
              <w:rPr>
                <w:sz w:val="20"/>
              </w:rPr>
              <w:t>DPDP framework</w:t>
            </w:r>
          </w:p>
        </w:tc>
        <w:tc>
          <w:tcPr>
            <w:tcW w:type="dxa" w:w="2664"/>
          </w:tcPr>
          <w:p>
            <w:pPr>
              <w:keepNext w:val="0"/>
            </w:pPr>
            <w:r>
              <w:rPr>
                <w:sz w:val="20"/>
              </w:rPr>
              <w:t>Verify current commencement and applicable privacy obligations</w:t>
            </w:r>
          </w:p>
        </w:tc>
        <w:tc>
          <w:tcPr>
            <w:tcW w:type="dxa" w:w="4032"/>
          </w:tcPr>
          <w:p>
            <w:pPr>
              <w:keepNext w:val="0"/>
            </w:pPr>
            <w:r>
              <w:rPr>
                <w:sz w:val="20"/>
              </w:rPr>
              <w:t>Privacy owner; official notification register and basis assessment.</w:t>
            </w:r>
          </w:p>
        </w:tc>
      </w:tr>
      <w:tr>
        <w:trPr>
          <w:cantSplit/>
        </w:trPr>
        <w:tc>
          <w:tcPr>
            <w:tcW w:type="dxa" w:w="3384"/>
          </w:tcPr>
          <w:p>
            <w:pPr>
              <w:keepNext w:val="0"/>
            </w:pPr>
            <w:r>
              <w:rPr>
                <w:sz w:val="20"/>
              </w:rPr>
              <w:t>CERT In directions</w:t>
            </w:r>
          </w:p>
        </w:tc>
        <w:tc>
          <w:tcPr>
            <w:tcW w:type="dxa" w:w="2664"/>
          </w:tcPr>
          <w:p>
            <w:pPr>
              <w:keepNext w:val="0"/>
            </w:pPr>
            <w:r>
              <w:rPr>
                <w:sz w:val="20"/>
              </w:rPr>
              <w:t>Confirm reportable incidents, clock synchronization and logging obligations</w:t>
            </w:r>
          </w:p>
        </w:tc>
        <w:tc>
          <w:tcPr>
            <w:tcW w:type="dxa" w:w="4032"/>
          </w:tcPr>
          <w:p>
            <w:pPr>
              <w:keepNext w:val="0"/>
            </w:pPr>
            <w:r>
              <w:rPr>
                <w:sz w:val="20"/>
              </w:rPr>
              <w:t>Security lead; incident runbook and log-retention evidence.</w:t>
            </w:r>
          </w:p>
        </w:tc>
      </w:tr>
      <w:tr>
        <w:trPr>
          <w:cantSplit/>
        </w:trPr>
        <w:tc>
          <w:tcPr>
            <w:tcW w:type="dxa" w:w="3384"/>
          </w:tcPr>
          <w:p>
            <w:pPr>
              <w:keepNext w:val="0"/>
            </w:pPr>
            <w:r>
              <w:rPr>
                <w:sz w:val="20"/>
              </w:rPr>
              <w:t>Department records policy</w:t>
            </w:r>
          </w:p>
        </w:tc>
        <w:tc>
          <w:tcPr>
            <w:tcW w:type="dxa" w:w="2664"/>
          </w:tcPr>
          <w:p>
            <w:pPr>
              <w:keepNext w:val="0"/>
            </w:pPr>
            <w:r>
              <w:rPr>
                <w:sz w:val="20"/>
              </w:rPr>
              <w:t>Approve retention, archive, legal hold and deletion rules</w:t>
            </w:r>
          </w:p>
        </w:tc>
        <w:tc>
          <w:tcPr>
            <w:tcW w:type="dxa" w:w="4032"/>
          </w:tcPr>
          <w:p>
            <w:pPr>
              <w:keepNext w:val="0"/>
            </w:pPr>
            <w:r>
              <w:rPr>
                <w:sz w:val="20"/>
              </w:rPr>
              <w:t>Data owner; signed schedule and deletion test.</w:t>
            </w:r>
          </w:p>
        </w:tc>
      </w:tr>
      <w:tr>
        <w:trPr>
          <w:cantSplit/>
        </w:trPr>
        <w:tc>
          <w:tcPr>
            <w:tcW w:type="dxa" w:w="3384"/>
          </w:tcPr>
          <w:p>
            <w:pPr>
              <w:keepNext w:val="0"/>
            </w:pPr>
            <w:r>
              <w:rPr>
                <w:sz w:val="20"/>
              </w:rPr>
              <w:t>Supplier and hosting controls</w:t>
            </w:r>
          </w:p>
        </w:tc>
        <w:tc>
          <w:tcPr>
            <w:tcW w:type="dxa" w:w="2664"/>
          </w:tcPr>
          <w:p>
            <w:pPr>
              <w:keepNext w:val="0"/>
            </w:pPr>
            <w:r>
              <w:rPr>
                <w:sz w:val="20"/>
              </w:rPr>
              <w:t>Review contracts, access, location and incident responsibilities</w:t>
            </w:r>
          </w:p>
        </w:tc>
        <w:tc>
          <w:tcPr>
            <w:tcW w:type="dxa" w:w="4032"/>
          </w:tcPr>
          <w:p>
            <w:pPr>
              <w:keepNext w:val="0"/>
            </w:pPr>
            <w:r>
              <w:rPr>
                <w:sz w:val="20"/>
              </w:rPr>
              <w:t>Operations lead; provider assessment and approved architecture.</w:t>
            </w:r>
          </w:p>
        </w:tc>
      </w:tr>
    </w:tbl>
    <w:p>
      <w:pPr>
        <w:pStyle w:val="Heading1"/>
      </w:pPr>
      <w:r>
        <w:t>Monitoring and incident response</w:t>
      </w:r>
    </w:p>
    <w:p>
      <w:r>
        <w:t>Collect minimal structured security logs for sign-in failures, role changes, denied access, decisions, malware results, and operational failures. Exclude passwords, tokens, raw document content, and unnecessary personal fields. Synchronize system clocks and restrict log access. Alert on abnormal failure rates, privileged changes, repeated forbidden access, and queue or storage errors.</w:t>
      </w:r>
    </w:p>
    <w:p>
      <w:r>
        <w:t>CERT In directions specify reporting the listed cyber incidents within six hours of noticing or being notified, and require specified entities to maintain ICT logs securely for a rolling 180 days within Indian jurisdiction [CERT]. The security owner must validate applicability and current directions. Incident handling proceeds through detection, triage, containment, evidence preservation, applicable reporting, remediation, and post-incident review. Privacy-breach notifications require a separate applicability review; do not assume the CERT In deadline is the only reporting rule.</w:t>
      </w:r>
    </w:p>
    <w:p>
      <w:pPr>
        <w:pStyle w:val="Heading1"/>
      </w:pPr>
      <w:r>
        <w:t>Backup recovery and operational controls</w:t>
      </w:r>
    </w:p>
    <w:p>
      <w:r>
        <w:t>The proposed baseline is encrypted daily database backups plus private evidence replication or versioned backup, with access separate from the application account. Target RPO is 24 hours and target RTO is four hours. These become credible only after a restore exercise reconstructs accounts, application histories, references, and document metadata consistently.</w:t>
      </w:r>
    </w:p>
    <w:p>
      <w:r>
        <w:t>Restore tests should occur at least quarterly and after substantial storage changes. Record duration, missing records, integrity checks, and corrective actions. Patch dependencies through reviewed releases, test migrations, scan repositories for secrets, and maintain an inventory of software and service accounts. A backup existing is not proof that recovery works.</w:t>
      </w:r>
    </w:p>
    <w:p>
      <w:pPr>
        <w:pStyle w:val="Heading1"/>
      </w:pPr>
      <w:r>
        <w:t>Security integration outline and release gate</w:t>
      </w:r>
    </w:p>
    <w:p>
      <w:r>
        <w:t>Client requests cross TLS and rate-limit controls before application authentication, CSRF checking, and object authorization. Validated workflow operations execute in a database transaction and record audit and outbox events. Uploads enter private quarantine before the scan worker releases clean evidence. Monitoring receives minimal events; isolated backups support restoration. This sequence is documented in the included security-flow diagram.</w:t>
      </w:r>
    </w:p>
    <w:p>
      <w:r>
        <w:t>Pilot release is blocked by unresolved critical authorization defects, exposed evidence, untested restoration, missing department content approval, or unverified applicable legal obligations. The readiness review must record remaining risks and an accountable acceptance decision. The planning repository supplies the proposed controls and required evidence; implementation and independent assurance remain the next project phase.</w:t>
      </w:r>
    </w:p>
    <w:p>
      <w:pPr>
        <w:pStyle w:val="Heading1"/>
      </w:pPr>
      <w:r>
        <w:t>Public references</w:t>
      </w:r>
    </w:p>
    <w:p>
      <w:r>
        <w:t>[GIGW] National Informatics Centre. Guidelines for Indian Government Websites and Apps version 3. https://guidelines.india.gov.in/. Accessed or reference checked 12 October 2026. Deployment owners must review current versions.</w:t>
      </w:r>
    </w:p>
    <w:p>
      <w:r>
        <w:t>[WCAG] World Wide Web Consortium. Web Content Accessibility Guidelines 2.2. https://www.w3.org/TR/WCAG22/. Accessed or reference checked 12 October 2026. Deployment owners must review current versions.</w:t>
      </w:r>
    </w:p>
    <w:p>
      <w:r>
        <w:t>[CERT] CERT In. Directions under section 70B dated 28 April 2022. https://www.cert-in.org.in/PDF/CERT-In_Directions_70B_28.04.2022.pdf. Accessed or reference checked 12 October 2026. Deployment owners must review current versions.</w:t>
      </w:r>
    </w:p>
    <w:p>
      <w:r>
        <w:t>[DPDP] Ministry of Electronics and Information Technology. Data protection framework and current notifications. https://www.meity.gov.in/data-protection-framework. Accessed or reference checked 12 October 2026. Deployment owners must review current versions.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Security Compliance and Data Protection Strategy</dc:title>
  <dc:subject>E governance internship project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