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5 Testing Evaluation and Continuous Improvement Strategy</w:t>
      </w:r>
    </w:p>
    <w:p>
      <w:r>
        <w:t>CivicServe e governance and digital services portal</w:t>
      </w:r>
    </w:p>
    <w:p>
      <w:r>
        <w:t>Internship planning deliverable | 13 October 2026</w:t>
      </w:r>
    </w:p>
    <w:p>
      <w:pPr>
        <w:pStyle w:val="Heading1"/>
      </w:pPr>
      <w:r>
        <w:t>Executive summary</w:t>
      </w:r>
    </w:p>
    <w:p>
      <w:r>
        <w:t>This report defines a testing, evaluation and continuous improvement plan for CivicServe, the proposed e-governance portal described in Weeks 1 to 4. It converts functional, user experience, API and security requirements into testable scenarios, acceptance criteria, accountable reviews and post-deployment actions.</w:t>
      </w:r>
    </w:p>
    <w:p>
      <w:r>
        <w:t>The recommended release decision requires successful citizen and officer journeys, verified ownership and department boundaries, accessible forms, safe evidence handling and tested recovery. This document is a plan: its test cases are not reported as executed, and no production performance, compliance or security certification is claimed.</w:t>
      </w:r>
    </w:p>
    <w:p>
      <w:pPr>
        <w:pStyle w:val="Heading1"/>
      </w:pPr>
      <w:r>
        <w:t>Scope assumptions and test environment</w:t>
      </w:r>
    </w:p>
    <w:p>
      <w:r>
        <w:t>Test the public service catalogue, session authentication, citizen draft and submission flow, evidence uploads, tracking, departmental decisions, grievances, notifications and administration. The proposed implementation uses Django, Django REST Framework, PostgreSQL, private storage and background workers. These components require a staging implementation before the operational tests can run.</w:t>
      </w:r>
    </w:p>
    <w:p>
      <w:r>
        <w:t>Use a separate staging environment with production-like configuration, database engine and job workers. Create synthetic residents, two departments, assigned and unassigned officers, an administrator and sample services. Never copy real citizen documents, passwords or identifiers into test fixtures. External identity, payment and certificate integrations remain outside the initial scope; future approved adapters need their own contract and failure tests.</w:t>
      </w:r>
    </w:p>
    <w:p>
      <w:r>
        <w:t>Baseline browsers are current supported Chrome, Edge and Firefox, plus Android Chrome and iOS Safari. Record actual browser versions at execution. Evaluate 320, 768 and 1440 CSS-pixel layouts, 200 percent zoom, keyboard access and at least one screen-reader combination. Language review covers English and Tamil when translated content is implemented.</w:t>
      </w:r>
    </w:p>
    <w:p>
      <w:pPr>
        <w:pStyle w:val="Heading1"/>
      </w:pPr>
      <w:r>
        <w:t>Testing methodology and ownership</w:t>
      </w:r>
    </w:p>
    <w:tbl>
      <w:tblPr>
        <w:tblStyle w:val="LightShading-Accent1"/>
        <w:tblW w:type="auto" w:w="0"/>
        <w:tblLayout w:type="fixed"/>
        <w:tblLook w:firstColumn="1" w:firstRow="1" w:lastColumn="0" w:lastRow="0" w:noHBand="0" w:noVBand="1" w:val="04A0"/>
      </w:tblPr>
      <w:tblGrid>
        <w:gridCol w:w="1656"/>
        <w:gridCol w:w="4752"/>
        <w:gridCol w:w="2952"/>
      </w:tblGrid>
      <w:tr>
        <w:trPr>
          <w:cantSplit/>
          <w:tblHeader/>
        </w:trPr>
        <w:tc>
          <w:tcPr>
            <w:tcW w:type="dxa" w:w="1656"/>
          </w:tcPr>
          <w:p>
            <w:pPr>
              <w:keepNext/>
            </w:pPr>
            <w:r>
              <w:rPr>
                <w:sz w:val="19"/>
              </w:rPr>
              <w:t>Method</w:t>
            </w:r>
          </w:p>
        </w:tc>
        <w:tc>
          <w:tcPr>
            <w:tcW w:type="dxa" w:w="4752"/>
          </w:tcPr>
          <w:p>
            <w:pPr>
              <w:keepNext/>
            </w:pPr>
            <w:r>
              <w:rPr>
                <w:sz w:val="19"/>
              </w:rPr>
              <w:t>Coverage and execution</w:t>
            </w:r>
          </w:p>
        </w:tc>
        <w:tc>
          <w:tcPr>
            <w:tcW w:type="dxa" w:w="2952"/>
          </w:tcPr>
          <w:p>
            <w:pPr>
              <w:keepNext/>
            </w:pPr>
            <w:r>
              <w:rPr>
                <w:sz w:val="19"/>
              </w:rPr>
              <w:t>Owner and evidence</w:t>
            </w:r>
          </w:p>
        </w:tc>
      </w:tr>
      <w:tr>
        <w:trPr>
          <w:cantSplit/>
        </w:trPr>
        <w:tc>
          <w:tcPr>
            <w:tcW w:type="dxa" w:w="1656"/>
          </w:tcPr>
          <w:p>
            <w:pPr>
              <w:keepNext w:val="0"/>
            </w:pPr>
            <w:r>
              <w:rPr>
                <w:sz w:val="19"/>
              </w:rPr>
              <w:t>Unit testing</w:t>
            </w:r>
          </w:p>
        </w:tc>
        <w:tc>
          <w:tcPr>
            <w:tcW w:type="dxa" w:w="4752"/>
          </w:tcPr>
          <w:p>
            <w:pPr>
              <w:keepNext w:val="0"/>
            </w:pPr>
            <w:r>
              <w:rPr>
                <w:sz w:val="19"/>
              </w:rPr>
              <w:t>Validate field rules, allowed transitions, ownership predicates and formatting with isolated tests. Run on each change.</w:t>
            </w:r>
          </w:p>
        </w:tc>
        <w:tc>
          <w:tcPr>
            <w:tcW w:type="dxa" w:w="2952"/>
          </w:tcPr>
          <w:p>
            <w:pPr>
              <w:keepNext w:val="0"/>
            </w:pPr>
            <w:r>
              <w:rPr>
                <w:sz w:val="19"/>
              </w:rPr>
              <w:t>Developer; automated test output linked to commit.</w:t>
            </w:r>
          </w:p>
        </w:tc>
      </w:tr>
      <w:tr>
        <w:trPr>
          <w:cantSplit/>
        </w:trPr>
        <w:tc>
          <w:tcPr>
            <w:tcW w:type="dxa" w:w="1656"/>
          </w:tcPr>
          <w:p>
            <w:pPr>
              <w:keepNext w:val="0"/>
            </w:pPr>
            <w:r>
              <w:rPr>
                <w:sz w:val="19"/>
              </w:rPr>
              <w:t>Integration testing</w:t>
            </w:r>
          </w:p>
        </w:tc>
        <w:tc>
          <w:tcPr>
            <w:tcW w:type="dxa" w:w="4752"/>
          </w:tcPr>
          <w:p>
            <w:pPr>
              <w:keepNext w:val="0"/>
            </w:pPr>
            <w:r>
              <w:rPr>
                <w:sz w:val="19"/>
              </w:rPr>
              <w:t>Exercise API, PostgreSQL, private storage, scan worker and notification outbox together. Include failure injection.</w:t>
            </w:r>
          </w:p>
        </w:tc>
        <w:tc>
          <w:tcPr>
            <w:tcW w:type="dxa" w:w="2952"/>
          </w:tcPr>
          <w:p>
            <w:pPr>
              <w:keepNext w:val="0"/>
            </w:pPr>
            <w:r>
              <w:rPr>
                <w:sz w:val="19"/>
              </w:rPr>
              <w:t>Backend lead; environment and integration logs.</w:t>
            </w:r>
          </w:p>
        </w:tc>
      </w:tr>
      <w:tr>
        <w:trPr>
          <w:cantSplit/>
        </w:trPr>
        <w:tc>
          <w:tcPr>
            <w:tcW w:type="dxa" w:w="1656"/>
          </w:tcPr>
          <w:p>
            <w:pPr>
              <w:keepNext w:val="0"/>
            </w:pPr>
            <w:r>
              <w:rPr>
                <w:sz w:val="19"/>
              </w:rPr>
              <w:t>End to end testing</w:t>
            </w:r>
          </w:p>
        </w:tc>
        <w:tc>
          <w:tcPr>
            <w:tcW w:type="dxa" w:w="4752"/>
          </w:tcPr>
          <w:p>
            <w:pPr>
              <w:keepNext w:val="0"/>
            </w:pPr>
            <w:r>
              <w:rPr>
                <w:sz w:val="19"/>
              </w:rPr>
              <w:t>Run citizen application, requested revision, officer decision and grievance journeys in a browser.</w:t>
            </w:r>
          </w:p>
        </w:tc>
        <w:tc>
          <w:tcPr>
            <w:tcW w:type="dxa" w:w="2952"/>
          </w:tcPr>
          <w:p>
            <w:pPr>
              <w:keepNext w:val="0"/>
            </w:pPr>
            <w:r>
              <w:rPr>
                <w:sz w:val="19"/>
              </w:rPr>
              <w:t>QA lead; traces and expected results.</w:t>
            </w:r>
          </w:p>
        </w:tc>
      </w:tr>
      <w:tr>
        <w:trPr>
          <w:cantSplit/>
        </w:trPr>
        <w:tc>
          <w:tcPr>
            <w:tcW w:type="dxa" w:w="1656"/>
          </w:tcPr>
          <w:p>
            <w:pPr>
              <w:keepNext w:val="0"/>
            </w:pPr>
            <w:r>
              <w:rPr>
                <w:sz w:val="19"/>
              </w:rPr>
              <w:t>Usability and accessibility</w:t>
            </w:r>
          </w:p>
        </w:tc>
        <w:tc>
          <w:tcPr>
            <w:tcW w:type="dxa" w:w="4752"/>
          </w:tcPr>
          <w:p>
            <w:pPr>
              <w:keepNext w:val="0"/>
            </w:pPr>
            <w:r>
              <w:rPr>
                <w:sz w:val="19"/>
              </w:rPr>
              <w:t>Observe representative residents; perform keyboard, screen-reader, contrast, zoom and responsive checks.</w:t>
            </w:r>
          </w:p>
        </w:tc>
        <w:tc>
          <w:tcPr>
            <w:tcW w:type="dxa" w:w="2952"/>
          </w:tcPr>
          <w:p>
            <w:pPr>
              <w:keepNext w:val="0"/>
            </w:pPr>
            <w:r>
              <w:rPr>
                <w:sz w:val="19"/>
              </w:rPr>
              <w:t>UX lead; task observations and accessibility findings.</w:t>
            </w:r>
          </w:p>
        </w:tc>
      </w:tr>
      <w:tr>
        <w:trPr>
          <w:cantSplit/>
        </w:trPr>
        <w:tc>
          <w:tcPr>
            <w:tcW w:type="dxa" w:w="1656"/>
          </w:tcPr>
          <w:p>
            <w:pPr>
              <w:keepNext w:val="0"/>
            </w:pPr>
            <w:r>
              <w:rPr>
                <w:sz w:val="19"/>
              </w:rPr>
              <w:t>Security testing</w:t>
            </w:r>
          </w:p>
        </w:tc>
        <w:tc>
          <w:tcPr>
            <w:tcW w:type="dxa" w:w="4752"/>
          </w:tcPr>
          <w:p>
            <w:pPr>
              <w:keepNext w:val="0"/>
            </w:pPr>
            <w:r>
              <w:rPr>
                <w:sz w:val="19"/>
              </w:rPr>
              <w:t>Test ownership, role escalation, CSRF, session controls, uploads and dependency risks in authorized staging.</w:t>
            </w:r>
          </w:p>
        </w:tc>
        <w:tc>
          <w:tcPr>
            <w:tcW w:type="dxa" w:w="2952"/>
          </w:tcPr>
          <w:p>
            <w:pPr>
              <w:keepNext w:val="0"/>
            </w:pPr>
            <w:r>
              <w:rPr>
                <w:sz w:val="19"/>
              </w:rPr>
              <w:t>Security lead; findings and retest evidence.</w:t>
            </w:r>
          </w:p>
        </w:tc>
      </w:tr>
      <w:tr>
        <w:trPr>
          <w:cantSplit/>
        </w:trPr>
        <w:tc>
          <w:tcPr>
            <w:tcW w:type="dxa" w:w="1656"/>
          </w:tcPr>
          <w:p>
            <w:pPr>
              <w:keepNext w:val="0"/>
            </w:pPr>
            <w:r>
              <w:rPr>
                <w:sz w:val="19"/>
              </w:rPr>
              <w:t>Performance and recovery</w:t>
            </w:r>
          </w:p>
        </w:tc>
        <w:tc>
          <w:tcPr>
            <w:tcW w:type="dxa" w:w="4752"/>
          </w:tcPr>
          <w:p>
            <w:pPr>
              <w:keepNext w:val="0"/>
            </w:pPr>
            <w:r>
              <w:rPr>
                <w:sz w:val="19"/>
              </w:rPr>
              <w:t>Measure latency, error rates, queue delay and restore success under a documented workload.</w:t>
            </w:r>
          </w:p>
        </w:tc>
        <w:tc>
          <w:tcPr>
            <w:tcW w:type="dxa" w:w="2952"/>
          </w:tcPr>
          <w:p>
            <w:pPr>
              <w:keepNext w:val="0"/>
            </w:pPr>
            <w:r>
              <w:rPr>
                <w:sz w:val="19"/>
              </w:rPr>
              <w:t>Operations lead; load report and recovery log.</w:t>
            </w:r>
          </w:p>
        </w:tc>
      </w:tr>
      <w:tr>
        <w:trPr>
          <w:cantSplit/>
        </w:trPr>
        <w:tc>
          <w:tcPr>
            <w:tcW w:type="dxa" w:w="1656"/>
          </w:tcPr>
          <w:p>
            <w:pPr>
              <w:keepNext w:val="0"/>
            </w:pPr>
            <w:r>
              <w:rPr>
                <w:sz w:val="19"/>
              </w:rPr>
              <w:t>User acceptance testing</w:t>
            </w:r>
          </w:p>
        </w:tc>
        <w:tc>
          <w:tcPr>
            <w:tcW w:type="dxa" w:w="4752"/>
          </w:tcPr>
          <w:p>
            <w:pPr>
              <w:keepNext w:val="0"/>
            </w:pPr>
            <w:r>
              <w:rPr>
                <w:sz w:val="19"/>
              </w:rPr>
              <w:t>Department staff validate service rules, content, decisions and support routes with resident representatives.</w:t>
            </w:r>
          </w:p>
        </w:tc>
        <w:tc>
          <w:tcPr>
            <w:tcW w:type="dxa" w:w="2952"/>
          </w:tcPr>
          <w:p>
            <w:pPr>
              <w:keepNext w:val="0"/>
            </w:pPr>
            <w:r>
              <w:rPr>
                <w:sz w:val="19"/>
              </w:rPr>
              <w:t>Department owner; scenario results and signed decision.</w:t>
            </w:r>
          </w:p>
        </w:tc>
      </w:tr>
    </w:tbl>
    <w:p>
      <w:pPr>
        <w:pStyle w:val="Heading1"/>
      </w:pPr>
      <w:r>
        <w:t>Test case design and execution rules</w:t>
      </w:r>
    </w:p>
    <w:p>
      <w:r>
        <w:t>Each case records ID, linked requirement, preconditions, input, steps, expected result, actual result, pass or fail, build identifier and evidence. The test inventory below provides operational scenarios. Expand each row into an executable case before development acceptance. A blocked test is recorded as blocked, with its dependency and owner; it is not counted as passed.</w:t>
      </w:r>
    </w:p>
    <w:p>
      <w:r>
        <w:t>Use clean fixtures or reset the staging database between suites. Preserve evidence for failed cases and avoid logging document content or secrets. Re-run targeted tests after a fix, then the affected regression suite before closure. Authentication controls and service rules must be tested on the server, not inferred from hidden buttons.</w:t>
      </w:r>
    </w:p>
    <w:p>
      <w:pPr>
        <w:pStyle w:val="Heading1"/>
      </w:pPr>
      <w:r>
        <w:t>Functional and security test scenarios</w:t>
      </w:r>
    </w:p>
    <w:tbl>
      <w:tblPr>
        <w:tblStyle w:val="LightShading-Accent1"/>
        <w:tblW w:type="auto" w:w="0"/>
        <w:tblLayout w:type="fixed"/>
        <w:tblLook w:firstColumn="1" w:firstRow="1" w:lastColumn="0" w:lastRow="0" w:noHBand="0" w:noVBand="1" w:val="04A0"/>
      </w:tblPr>
      <w:tblGrid>
        <w:gridCol w:w="1944"/>
        <w:gridCol w:w="3744"/>
        <w:gridCol w:w="3672"/>
      </w:tblGrid>
      <w:tr>
        <w:trPr>
          <w:cantSplit/>
          <w:tblHeader/>
        </w:trPr>
        <w:tc>
          <w:tcPr>
            <w:tcW w:type="dxa" w:w="1944"/>
          </w:tcPr>
          <w:p>
            <w:pPr>
              <w:keepNext/>
            </w:pPr>
            <w:r>
              <w:rPr>
                <w:sz w:val="19"/>
              </w:rPr>
              <w:t>ID and requirement</w:t>
            </w:r>
          </w:p>
        </w:tc>
        <w:tc>
          <w:tcPr>
            <w:tcW w:type="dxa" w:w="3744"/>
          </w:tcPr>
          <w:p>
            <w:pPr>
              <w:keepNext/>
            </w:pPr>
            <w:r>
              <w:rPr>
                <w:sz w:val="19"/>
              </w:rPr>
              <w:t>Preconditions and actions</w:t>
            </w:r>
          </w:p>
        </w:tc>
        <w:tc>
          <w:tcPr>
            <w:tcW w:type="dxa" w:w="3672"/>
          </w:tcPr>
          <w:p>
            <w:pPr>
              <w:keepNext/>
            </w:pPr>
            <w:r>
              <w:rPr>
                <w:sz w:val="19"/>
              </w:rPr>
              <w:t>Expected result</w:t>
            </w:r>
          </w:p>
        </w:tc>
      </w:tr>
      <w:tr>
        <w:trPr>
          <w:cantSplit/>
        </w:trPr>
        <w:tc>
          <w:tcPr>
            <w:tcW w:type="dxa" w:w="1944"/>
          </w:tcPr>
          <w:p>
            <w:pPr>
              <w:keepNext w:val="0"/>
            </w:pPr>
            <w:r>
              <w:rPr>
                <w:sz w:val="19"/>
              </w:rPr>
              <w:t>TC01 FR01 catalogue</w:t>
            </w:r>
          </w:p>
        </w:tc>
        <w:tc>
          <w:tcPr>
            <w:tcW w:type="dxa" w:w="3744"/>
          </w:tcPr>
          <w:p>
            <w:pPr>
              <w:keepNext w:val="0"/>
            </w:pPr>
            <w:r>
              <w:rPr>
                <w:sz w:val="19"/>
              </w:rPr>
              <w:t>Published and unpublished services exist. Search a keyword and an unknown phrase.</w:t>
            </w:r>
          </w:p>
        </w:tc>
        <w:tc>
          <w:tcPr>
            <w:tcW w:type="dxa" w:w="3672"/>
          </w:tcPr>
          <w:p>
            <w:pPr>
              <w:keepNext w:val="0"/>
            </w:pPr>
            <w:r>
              <w:rPr>
                <w:sz w:val="19"/>
              </w:rPr>
              <w:t>Only published matching services appear; no-results state offers help.</w:t>
            </w:r>
          </w:p>
        </w:tc>
      </w:tr>
      <w:tr>
        <w:trPr>
          <w:cantSplit/>
        </w:trPr>
        <w:tc>
          <w:tcPr>
            <w:tcW w:type="dxa" w:w="1944"/>
          </w:tcPr>
          <w:p>
            <w:pPr>
              <w:keepNext w:val="0"/>
            </w:pPr>
            <w:r>
              <w:rPr>
                <w:sz w:val="19"/>
              </w:rPr>
              <w:t>TC02 FR02 sessions</w:t>
            </w:r>
          </w:p>
        </w:tc>
        <w:tc>
          <w:tcPr>
            <w:tcW w:type="dxa" w:w="3744"/>
          </w:tcPr>
          <w:p>
            <w:pPr>
              <w:keepNext w:val="0"/>
            </w:pPr>
            <w:r>
              <w:rPr>
                <w:sz w:val="19"/>
              </w:rPr>
              <w:t>Sign in, sign out, then request a protected application.</w:t>
            </w:r>
          </w:p>
        </w:tc>
        <w:tc>
          <w:tcPr>
            <w:tcW w:type="dxa" w:w="3672"/>
          </w:tcPr>
          <w:p>
            <w:pPr>
              <w:keepNext w:val="0"/>
            </w:pPr>
            <w:r>
              <w:rPr>
                <w:sz w:val="19"/>
              </w:rPr>
              <w:t>Session becomes unusable; no private record is exposed.</w:t>
            </w:r>
          </w:p>
        </w:tc>
      </w:tr>
      <w:tr>
        <w:trPr>
          <w:cantSplit/>
        </w:trPr>
        <w:tc>
          <w:tcPr>
            <w:tcW w:type="dxa" w:w="1944"/>
          </w:tcPr>
          <w:p>
            <w:pPr>
              <w:keepNext w:val="0"/>
            </w:pPr>
            <w:r>
              <w:rPr>
                <w:sz w:val="19"/>
              </w:rPr>
              <w:t>TC03 FR03 validation</w:t>
            </w:r>
          </w:p>
        </w:tc>
        <w:tc>
          <w:tcPr>
            <w:tcW w:type="dxa" w:w="3744"/>
          </w:tcPr>
          <w:p>
            <w:pPr>
              <w:keepNext w:val="0"/>
            </w:pPr>
            <w:r>
              <w:rPr>
                <w:sz w:val="19"/>
              </w:rPr>
              <w:t>Create a draft; omit a mandatory field and submit.</w:t>
            </w:r>
          </w:p>
        </w:tc>
        <w:tc>
          <w:tcPr>
            <w:tcW w:type="dxa" w:w="3672"/>
          </w:tcPr>
          <w:p>
            <w:pPr>
              <w:keepNext w:val="0"/>
            </w:pPr>
            <w:r>
              <w:rPr>
                <w:sz w:val="19"/>
              </w:rPr>
              <w:t>Server returns field errors, preserves valid values and keeps draft state.</w:t>
            </w:r>
          </w:p>
        </w:tc>
      </w:tr>
      <w:tr>
        <w:trPr>
          <w:cantSplit/>
        </w:trPr>
        <w:tc>
          <w:tcPr>
            <w:tcW w:type="dxa" w:w="1944"/>
          </w:tcPr>
          <w:p>
            <w:pPr>
              <w:keepNext w:val="0"/>
            </w:pPr>
            <w:r>
              <w:rPr>
                <w:sz w:val="19"/>
              </w:rPr>
              <w:t>TC04 FR03 submission</w:t>
            </w:r>
          </w:p>
        </w:tc>
        <w:tc>
          <w:tcPr>
            <w:tcW w:type="dxa" w:w="3744"/>
          </w:tcPr>
          <w:p>
            <w:pPr>
              <w:keepNext w:val="0"/>
            </w:pPr>
            <w:r>
              <w:rPr>
                <w:sz w:val="19"/>
              </w:rPr>
              <w:t>Complete fields and clean required uploads; submit with version and idempotency key.</w:t>
            </w:r>
          </w:p>
        </w:tc>
        <w:tc>
          <w:tcPr>
            <w:tcW w:type="dxa" w:w="3672"/>
          </w:tcPr>
          <w:p>
            <w:pPr>
              <w:keepNext w:val="0"/>
            </w:pPr>
            <w:r>
              <w:rPr>
                <w:sz w:val="19"/>
              </w:rPr>
              <w:t>One submitted record, reference, history event and outbox job are committed.</w:t>
            </w:r>
          </w:p>
        </w:tc>
      </w:tr>
      <w:tr>
        <w:trPr>
          <w:cantSplit/>
        </w:trPr>
        <w:tc>
          <w:tcPr>
            <w:tcW w:type="dxa" w:w="1944"/>
          </w:tcPr>
          <w:p>
            <w:pPr>
              <w:keepNext w:val="0"/>
            </w:pPr>
            <w:r>
              <w:rPr>
                <w:sz w:val="19"/>
              </w:rPr>
              <w:t>TC05 retry reliability</w:t>
            </w:r>
          </w:p>
        </w:tc>
        <w:tc>
          <w:tcPr>
            <w:tcW w:type="dxa" w:w="3744"/>
          </w:tcPr>
          <w:p>
            <w:pPr>
              <w:keepNext w:val="0"/>
            </w:pPr>
            <w:r>
              <w:rPr>
                <w:sz w:val="19"/>
              </w:rPr>
              <w:t>Repeat the same submission key and payload; repeat key with different payload.</w:t>
            </w:r>
          </w:p>
        </w:tc>
        <w:tc>
          <w:tcPr>
            <w:tcW w:type="dxa" w:w="3672"/>
          </w:tcPr>
          <w:p>
            <w:pPr>
              <w:keepNext w:val="0"/>
            </w:pPr>
            <w:r>
              <w:rPr>
                <w:sz w:val="19"/>
              </w:rPr>
              <w:t>First retry returns original result; different payload returns 409.</w:t>
            </w:r>
          </w:p>
        </w:tc>
      </w:tr>
      <w:tr>
        <w:trPr>
          <w:cantSplit/>
        </w:trPr>
        <w:tc>
          <w:tcPr>
            <w:tcW w:type="dxa" w:w="1944"/>
          </w:tcPr>
          <w:p>
            <w:pPr>
              <w:keepNext w:val="0"/>
            </w:pPr>
            <w:r>
              <w:rPr>
                <w:sz w:val="19"/>
              </w:rPr>
              <w:t>TC06 FR04 ownership</w:t>
            </w:r>
          </w:p>
        </w:tc>
        <w:tc>
          <w:tcPr>
            <w:tcW w:type="dxa" w:w="3744"/>
          </w:tcPr>
          <w:p>
            <w:pPr>
              <w:keepNext w:val="0"/>
            </w:pPr>
            <w:r>
              <w:rPr>
                <w:sz w:val="19"/>
              </w:rPr>
              <w:t>Citizen B requests citizen A record and evidence by guessed identifiers.</w:t>
            </w:r>
          </w:p>
        </w:tc>
        <w:tc>
          <w:tcPr>
            <w:tcW w:type="dxa" w:w="3672"/>
          </w:tcPr>
          <w:p>
            <w:pPr>
              <w:keepNext w:val="0"/>
            </w:pPr>
            <w:r>
              <w:rPr>
                <w:sz w:val="19"/>
              </w:rPr>
              <w:t>Request is denied or concealed; no metadata or bytes leak.</w:t>
            </w:r>
          </w:p>
        </w:tc>
      </w:tr>
      <w:tr>
        <w:trPr>
          <w:cantSplit/>
        </w:trPr>
        <w:tc>
          <w:tcPr>
            <w:tcW w:type="dxa" w:w="1944"/>
          </w:tcPr>
          <w:p>
            <w:pPr>
              <w:keepNext w:val="0"/>
            </w:pPr>
            <w:r>
              <w:rPr>
                <w:sz w:val="19"/>
              </w:rPr>
              <w:t>TC07 FR05 staff scope</w:t>
            </w:r>
          </w:p>
        </w:tc>
        <w:tc>
          <w:tcPr>
            <w:tcW w:type="dxa" w:w="3744"/>
          </w:tcPr>
          <w:p>
            <w:pPr>
              <w:keepNext w:val="0"/>
            </w:pPr>
            <w:r>
              <w:rPr>
                <w:sz w:val="19"/>
              </w:rPr>
              <w:t>Unassigned or other-department officer attempts a decision.</w:t>
            </w:r>
          </w:p>
        </w:tc>
        <w:tc>
          <w:tcPr>
            <w:tcW w:type="dxa" w:w="3672"/>
          </w:tcPr>
          <w:p>
            <w:pPr>
              <w:keepNext w:val="0"/>
            </w:pPr>
            <w:r>
              <w:rPr>
                <w:sz w:val="19"/>
              </w:rPr>
              <w:t>Server denies change; application state remains unchanged.</w:t>
            </w:r>
          </w:p>
        </w:tc>
      </w:tr>
      <w:tr>
        <w:trPr>
          <w:cantSplit/>
        </w:trPr>
        <w:tc>
          <w:tcPr>
            <w:tcW w:type="dxa" w:w="1944"/>
          </w:tcPr>
          <w:p>
            <w:pPr>
              <w:keepNext w:val="0"/>
            </w:pPr>
            <w:r>
              <w:rPr>
                <w:sz w:val="19"/>
              </w:rPr>
              <w:t>TC08 concurrent decisions</w:t>
            </w:r>
          </w:p>
        </w:tc>
        <w:tc>
          <w:tcPr>
            <w:tcW w:type="dxa" w:w="3744"/>
          </w:tcPr>
          <w:p>
            <w:pPr>
              <w:keepNext w:val="0"/>
            </w:pPr>
            <w:r>
              <w:rPr>
                <w:sz w:val="19"/>
              </w:rPr>
              <w:t>Two permitted staff requests use the same revision version.</w:t>
            </w:r>
          </w:p>
        </w:tc>
        <w:tc>
          <w:tcPr>
            <w:tcW w:type="dxa" w:w="3672"/>
          </w:tcPr>
          <w:p>
            <w:pPr>
              <w:keepNext w:val="0"/>
            </w:pPr>
            <w:r>
              <w:rPr>
                <w:sz w:val="19"/>
              </w:rPr>
              <w:t>Only one change succeeds; stale request returns conflict.</w:t>
            </w:r>
          </w:p>
        </w:tc>
      </w:tr>
      <w:tr>
        <w:trPr>
          <w:cantSplit/>
        </w:trPr>
        <w:tc>
          <w:tcPr>
            <w:tcW w:type="dxa" w:w="1944"/>
          </w:tcPr>
          <w:p>
            <w:pPr>
              <w:keepNext w:val="0"/>
            </w:pPr>
            <w:r>
              <w:rPr>
                <w:sz w:val="19"/>
              </w:rPr>
              <w:t>TC09 workflow rules</w:t>
            </w:r>
          </w:p>
        </w:tc>
        <w:tc>
          <w:tcPr>
            <w:tcW w:type="dxa" w:w="3744"/>
          </w:tcPr>
          <w:p>
            <w:pPr>
              <w:keepNext w:val="0"/>
            </w:pPr>
            <w:r>
              <w:rPr>
                <w:sz w:val="19"/>
              </w:rPr>
              <w:t>Attempt an invalid transition and a decision without its required reason.</w:t>
            </w:r>
          </w:p>
        </w:tc>
        <w:tc>
          <w:tcPr>
            <w:tcW w:type="dxa" w:w="3672"/>
          </w:tcPr>
          <w:p>
            <w:pPr>
              <w:keepNext w:val="0"/>
            </w:pPr>
            <w:r>
              <w:rPr>
                <w:sz w:val="19"/>
              </w:rPr>
              <w:t>Request fails safely; no invalid state or history event is created.</w:t>
            </w:r>
          </w:p>
        </w:tc>
      </w:tr>
      <w:tr>
        <w:trPr>
          <w:cantSplit/>
        </w:trPr>
        <w:tc>
          <w:tcPr>
            <w:tcW w:type="dxa" w:w="1944"/>
          </w:tcPr>
          <w:p>
            <w:pPr>
              <w:keepNext w:val="0"/>
            </w:pPr>
            <w:r>
              <w:rPr>
                <w:sz w:val="19"/>
              </w:rPr>
              <w:t>TC10 upload validation</w:t>
            </w:r>
          </w:p>
        </w:tc>
        <w:tc>
          <w:tcPr>
            <w:tcW w:type="dxa" w:w="3744"/>
          </w:tcPr>
          <w:p>
            <w:pPr>
              <w:keepNext w:val="0"/>
            </w:pPr>
            <w:r>
              <w:rPr>
                <w:sz w:val="19"/>
              </w:rPr>
              <w:t>Upload oversized file, MIME mismatch and scanner-approved harmless test sample.</w:t>
            </w:r>
          </w:p>
        </w:tc>
        <w:tc>
          <w:tcPr>
            <w:tcW w:type="dxa" w:w="3672"/>
          </w:tcPr>
          <w:p>
            <w:pPr>
              <w:keepNext w:val="0"/>
            </w:pPr>
            <w:r>
              <w:rPr>
                <w:sz w:val="19"/>
              </w:rPr>
              <w:t>Oversize denied; mismatch rejected or quarantined; only clean evidence can be used.</w:t>
            </w:r>
          </w:p>
        </w:tc>
      </w:tr>
      <w:tr>
        <w:trPr>
          <w:cantSplit/>
        </w:trPr>
        <w:tc>
          <w:tcPr>
            <w:tcW w:type="dxa" w:w="1944"/>
          </w:tcPr>
          <w:p>
            <w:pPr>
              <w:keepNext w:val="0"/>
            </w:pPr>
            <w:r>
              <w:rPr>
                <w:sz w:val="19"/>
              </w:rPr>
              <w:t>TC11 scan failure</w:t>
            </w:r>
          </w:p>
        </w:tc>
        <w:tc>
          <w:tcPr>
            <w:tcW w:type="dxa" w:w="3744"/>
          </w:tcPr>
          <w:p>
            <w:pPr>
              <w:keepNext w:val="0"/>
            </w:pPr>
            <w:r>
              <w:rPr>
                <w:sz w:val="19"/>
              </w:rPr>
              <w:t>Scan worker times out or returns an error for uploaded evidence.</w:t>
            </w:r>
          </w:p>
        </w:tc>
        <w:tc>
          <w:tcPr>
            <w:tcW w:type="dxa" w:w="3672"/>
          </w:tcPr>
          <w:p>
            <w:pPr>
              <w:keepNext w:val="0"/>
            </w:pPr>
            <w:r>
              <w:rPr>
                <w:sz w:val="19"/>
              </w:rPr>
              <w:t>Evidence remains blocked; submission cannot treat failed scan as clean.</w:t>
            </w:r>
          </w:p>
        </w:tc>
      </w:tr>
      <w:tr>
        <w:trPr>
          <w:cantSplit/>
        </w:trPr>
        <w:tc>
          <w:tcPr>
            <w:tcW w:type="dxa" w:w="1944"/>
          </w:tcPr>
          <w:p>
            <w:pPr>
              <w:keepNext w:val="0"/>
            </w:pPr>
            <w:r>
              <w:rPr>
                <w:sz w:val="19"/>
              </w:rPr>
              <w:t>TC12 CSRF and privilege</w:t>
            </w:r>
          </w:p>
        </w:tc>
        <w:tc>
          <w:tcPr>
            <w:tcW w:type="dxa" w:w="3744"/>
          </w:tcPr>
          <w:p>
            <w:pPr>
              <w:keepNext w:val="0"/>
            </w:pPr>
            <w:r>
              <w:rPr>
                <w:sz w:val="19"/>
              </w:rPr>
              <w:t>Send unsafe session request without CSRF token; citizen sends staff role field.</w:t>
            </w:r>
          </w:p>
        </w:tc>
        <w:tc>
          <w:tcPr>
            <w:tcW w:type="dxa" w:w="3672"/>
          </w:tcPr>
          <w:p>
            <w:pPr>
              <w:keepNext w:val="0"/>
            </w:pPr>
            <w:r>
              <w:rPr>
                <w:sz w:val="19"/>
              </w:rPr>
              <w:t>CSRF request denied; privilege field is rejected or ignored safely.</w:t>
            </w:r>
          </w:p>
        </w:tc>
      </w:tr>
      <w:tr>
        <w:trPr>
          <w:cantSplit/>
        </w:trPr>
        <w:tc>
          <w:tcPr>
            <w:tcW w:type="dxa" w:w="1944"/>
          </w:tcPr>
          <w:p>
            <w:pPr>
              <w:keepNext w:val="0"/>
            </w:pPr>
            <w:r>
              <w:rPr>
                <w:sz w:val="19"/>
              </w:rPr>
              <w:t>TC13 FR06 grievances</w:t>
            </w:r>
          </w:p>
        </w:tc>
        <w:tc>
          <w:tcPr>
            <w:tcW w:type="dxa" w:w="3744"/>
          </w:tcPr>
          <w:p>
            <w:pPr>
              <w:keepNext w:val="0"/>
            </w:pPr>
            <w:r>
              <w:rPr>
                <w:sz w:val="19"/>
              </w:rPr>
              <w:t>Submit valid and invalid descriptions; retrieve another citizen ticket.</w:t>
            </w:r>
          </w:p>
        </w:tc>
        <w:tc>
          <w:tcPr>
            <w:tcW w:type="dxa" w:w="3672"/>
          </w:tcPr>
          <w:p>
            <w:pPr>
              <w:keepNext w:val="0"/>
            </w:pPr>
            <w:r>
              <w:rPr>
                <w:sz w:val="19"/>
              </w:rPr>
              <w:t>Valid input gets reference; invalid fields explained; foreign ticket concealed.</w:t>
            </w:r>
          </w:p>
        </w:tc>
      </w:tr>
      <w:tr>
        <w:trPr>
          <w:cantSplit/>
        </w:trPr>
        <w:tc>
          <w:tcPr>
            <w:tcW w:type="dxa" w:w="1944"/>
          </w:tcPr>
          <w:p>
            <w:pPr>
              <w:keepNext w:val="0"/>
            </w:pPr>
            <w:r>
              <w:rPr>
                <w:sz w:val="19"/>
              </w:rPr>
              <w:t>TC14 notification failure</w:t>
            </w:r>
          </w:p>
        </w:tc>
        <w:tc>
          <w:tcPr>
            <w:tcW w:type="dxa" w:w="3744"/>
          </w:tcPr>
          <w:p>
            <w:pPr>
              <w:keepNext w:val="0"/>
            </w:pPr>
            <w:r>
              <w:rPr>
                <w:sz w:val="19"/>
              </w:rPr>
              <w:t>Provider fails after application submission. Retry outbox job.</w:t>
            </w:r>
          </w:p>
        </w:tc>
        <w:tc>
          <w:tcPr>
            <w:tcW w:type="dxa" w:w="3672"/>
          </w:tcPr>
          <w:p>
            <w:pPr>
              <w:keepNext w:val="0"/>
            </w:pPr>
            <w:r>
              <w:rPr>
                <w:sz w:val="19"/>
              </w:rPr>
              <w:t>Application stays submitted; capped retry and operator escalation are available.</w:t>
            </w:r>
          </w:p>
        </w:tc>
      </w:tr>
      <w:tr>
        <w:trPr>
          <w:cantSplit/>
        </w:trPr>
        <w:tc>
          <w:tcPr>
            <w:tcW w:type="dxa" w:w="1944"/>
          </w:tcPr>
          <w:p>
            <w:pPr>
              <w:keepNext w:val="0"/>
            </w:pPr>
            <w:r>
              <w:rPr>
                <w:sz w:val="19"/>
              </w:rPr>
              <w:t>TC15 audit integrity</w:t>
            </w:r>
          </w:p>
        </w:tc>
        <w:tc>
          <w:tcPr>
            <w:tcW w:type="dxa" w:w="3744"/>
          </w:tcPr>
          <w:p>
            <w:pPr>
              <w:keepNext w:val="0"/>
            </w:pPr>
            <w:r>
              <w:rPr>
                <w:sz w:val="19"/>
              </w:rPr>
              <w:t>Change role and make a decision; attempt runtime audit deletion.</w:t>
            </w:r>
          </w:p>
        </w:tc>
        <w:tc>
          <w:tcPr>
            <w:tcW w:type="dxa" w:w="3672"/>
          </w:tcPr>
          <w:p>
            <w:pPr>
              <w:keepNext w:val="0"/>
            </w:pPr>
            <w:r>
              <w:rPr>
                <w:sz w:val="19"/>
              </w:rPr>
              <w:t>Minimal actor/action/time evidence exists; runtime mutation rights are restricted.</w:t>
            </w:r>
          </w:p>
        </w:tc>
      </w:tr>
      <w:tr>
        <w:trPr>
          <w:cantSplit/>
        </w:trPr>
        <w:tc>
          <w:tcPr>
            <w:tcW w:type="dxa" w:w="1944"/>
          </w:tcPr>
          <w:p>
            <w:pPr>
              <w:keepNext w:val="0"/>
            </w:pPr>
            <w:r>
              <w:rPr>
                <w:sz w:val="19"/>
              </w:rPr>
              <w:t>TC16 restoration</w:t>
            </w:r>
          </w:p>
        </w:tc>
        <w:tc>
          <w:tcPr>
            <w:tcW w:type="dxa" w:w="3744"/>
          </w:tcPr>
          <w:p>
            <w:pPr>
              <w:keepNext w:val="0"/>
            </w:pPr>
            <w:r>
              <w:rPr>
                <w:sz w:val="19"/>
              </w:rPr>
              <w:t>Restore isolated database and evidence backups into clean environment.</w:t>
            </w:r>
          </w:p>
        </w:tc>
        <w:tc>
          <w:tcPr>
            <w:tcW w:type="dxa" w:w="3672"/>
          </w:tcPr>
          <w:p>
            <w:pPr>
              <w:keepNext w:val="0"/>
            </w:pPr>
            <w:r>
              <w:rPr>
                <w:sz w:val="19"/>
              </w:rPr>
              <w:t>References, histories and evidence reconcile; measured recovery meets approved targets.</w:t>
            </w:r>
          </w:p>
        </w:tc>
      </w:tr>
    </w:tbl>
    <w:p>
      <w:pPr>
        <w:pStyle w:val="Heading1"/>
      </w:pPr>
      <w:r>
        <w:t>Usability responsiveness and accessibility scenarios</w:t>
      </w:r>
    </w:p>
    <w:p>
      <w:r>
        <w:t>TC17: complete the citizen journey using only the keyboard. All actionable controls receive visible focus in logical order; forms and dialogs do not trap focus. Errors identify affected fields and offer correction instructions. TC18: use a screen reader to inspect landmarks, headings, input labels, required fields, error summary, upload state and status history.</w:t>
      </w:r>
    </w:p>
    <w:p>
      <w:r>
        <w:t>TC19: inspect all key pages at the defined viewport widths and zoom level. Essential content and actions remain reachable without page-wide horizontal scrolling, except applicable two-dimensional content. Measure text and component contrast against the selected accessibility criteria. Status cannot depend on colour alone.</w:t>
      </w:r>
    </w:p>
    <w:p>
      <w:r>
        <w:t>TC20: ask five representative users to find a service, explain its evidence requirements, save a draft, correct an invalid field and track a reference. Record task completion, assistance, errors and time. Include participants representing limited digital experience and assistive technology needs. This sample identifies problems; it does not prove population-wide usability.</w:t>
      </w:r>
    </w:p>
    <w:p>
      <w:r>
        <w:t>TC21: review approved English and Tamil instructions side by side. Switching language must preserve saved information and consistent eligibility meaning. The content owner validates every service instruction before user acceptance.</w:t>
      </w:r>
    </w:p>
    <w:p>
      <w:pPr>
        <w:pStyle w:val="Heading1"/>
      </w:pPr>
      <w:r>
        <w:t>Tools and automation strategy</w:t>
      </w:r>
    </w:p>
    <w:tbl>
      <w:tblPr>
        <w:tblStyle w:val="LightShading-Accent1"/>
        <w:tblW w:type="auto" w:w="0"/>
        <w:tblLayout w:type="fixed"/>
        <w:tblLook w:firstColumn="1" w:firstRow="1" w:lastColumn="0" w:lastRow="0" w:noHBand="0" w:noVBand="1" w:val="04A0"/>
      </w:tblPr>
      <w:tblGrid>
        <w:gridCol w:w="2088"/>
        <w:gridCol w:w="3672"/>
        <w:gridCol w:w="3600"/>
      </w:tblGrid>
      <w:tr>
        <w:trPr>
          <w:cantSplit/>
          <w:tblHeader/>
        </w:trPr>
        <w:tc>
          <w:tcPr>
            <w:tcW w:type="dxa" w:w="2088"/>
          </w:tcPr>
          <w:p>
            <w:pPr>
              <w:keepNext/>
            </w:pPr>
            <w:r>
              <w:rPr>
                <w:sz w:val="19"/>
              </w:rPr>
              <w:t>Tool</w:t>
            </w:r>
          </w:p>
        </w:tc>
        <w:tc>
          <w:tcPr>
            <w:tcW w:type="dxa" w:w="3672"/>
          </w:tcPr>
          <w:p>
            <w:pPr>
              <w:keepNext/>
            </w:pPr>
            <w:r>
              <w:rPr>
                <w:sz w:val="19"/>
              </w:rPr>
              <w:t>Planned use</w:t>
            </w:r>
          </w:p>
        </w:tc>
        <w:tc>
          <w:tcPr>
            <w:tcW w:type="dxa" w:w="3600"/>
          </w:tcPr>
          <w:p>
            <w:pPr>
              <w:keepNext/>
            </w:pPr>
            <w:r>
              <w:rPr>
                <w:sz w:val="19"/>
              </w:rPr>
              <w:t>Limitations and safeguards</w:t>
            </w:r>
          </w:p>
        </w:tc>
      </w:tr>
      <w:tr>
        <w:trPr>
          <w:cantSplit/>
        </w:trPr>
        <w:tc>
          <w:tcPr>
            <w:tcW w:type="dxa" w:w="2088"/>
          </w:tcPr>
          <w:p>
            <w:pPr>
              <w:keepNext w:val="0"/>
            </w:pPr>
            <w:r>
              <w:rPr>
                <w:sz w:val="19"/>
              </w:rPr>
              <w:t>Django test framework and pytest</w:t>
            </w:r>
          </w:p>
        </w:tc>
        <w:tc>
          <w:tcPr>
            <w:tcW w:type="dxa" w:w="3672"/>
          </w:tcPr>
          <w:p>
            <w:pPr>
              <w:keepNext w:val="0"/>
            </w:pPr>
            <w:r>
              <w:rPr>
                <w:sz w:val="19"/>
              </w:rPr>
              <w:t>Unit and integration suites with isolated synthetic fixtures.</w:t>
            </w:r>
          </w:p>
        </w:tc>
        <w:tc>
          <w:tcPr>
            <w:tcW w:type="dxa" w:w="3600"/>
          </w:tcPr>
          <w:p>
            <w:pPr>
              <w:keepNext w:val="0"/>
            </w:pPr>
            <w:r>
              <w:rPr>
                <w:sz w:val="19"/>
              </w:rPr>
              <w:t>Do not substitute SQLite-only results for PostgreSQL behavior.</w:t>
            </w:r>
          </w:p>
        </w:tc>
      </w:tr>
      <w:tr>
        <w:trPr>
          <w:cantSplit/>
        </w:trPr>
        <w:tc>
          <w:tcPr>
            <w:tcW w:type="dxa" w:w="2088"/>
          </w:tcPr>
          <w:p>
            <w:pPr>
              <w:keepNext w:val="0"/>
            </w:pPr>
            <w:r>
              <w:rPr>
                <w:sz w:val="19"/>
              </w:rPr>
              <w:t>Playwright</w:t>
            </w:r>
          </w:p>
        </w:tc>
        <w:tc>
          <w:tcPr>
            <w:tcW w:type="dxa" w:w="3672"/>
          </w:tcPr>
          <w:p>
            <w:pPr>
              <w:keepNext w:val="0"/>
            </w:pPr>
            <w:r>
              <w:rPr>
                <w:sz w:val="19"/>
              </w:rPr>
              <w:t>Browser journeys, responsive checks and regression traces.</w:t>
            </w:r>
          </w:p>
        </w:tc>
        <w:tc>
          <w:tcPr>
            <w:tcW w:type="dxa" w:w="3600"/>
          </w:tcPr>
          <w:p>
            <w:pPr>
              <w:keepNext w:val="0"/>
            </w:pPr>
            <w:r>
              <w:rPr>
                <w:sz w:val="19"/>
              </w:rPr>
              <w:t>Use accessible selectors; avoid brittle timing-only checks.</w:t>
            </w:r>
          </w:p>
        </w:tc>
      </w:tr>
      <w:tr>
        <w:trPr>
          <w:cantSplit/>
        </w:trPr>
        <w:tc>
          <w:tcPr>
            <w:tcW w:type="dxa" w:w="2088"/>
          </w:tcPr>
          <w:p>
            <w:pPr>
              <w:keepNext w:val="0"/>
            </w:pPr>
            <w:r>
              <w:rPr>
                <w:sz w:val="19"/>
              </w:rPr>
              <w:t>axe core and manual checks</w:t>
            </w:r>
          </w:p>
        </w:tc>
        <w:tc>
          <w:tcPr>
            <w:tcW w:type="dxa" w:w="3672"/>
          </w:tcPr>
          <w:p>
            <w:pPr>
              <w:keepNext w:val="0"/>
            </w:pPr>
            <w:r>
              <w:rPr>
                <w:sz w:val="19"/>
              </w:rPr>
              <w:t>Automated accessibility screening plus keyboard and screen-reader review.</w:t>
            </w:r>
          </w:p>
        </w:tc>
        <w:tc>
          <w:tcPr>
            <w:tcW w:type="dxa" w:w="3600"/>
          </w:tcPr>
          <w:p>
            <w:pPr>
              <w:keepNext w:val="0"/>
            </w:pPr>
            <w:r>
              <w:rPr>
                <w:sz w:val="19"/>
              </w:rPr>
              <w:t>Automated scans alone cannot establish accessibility conformance.</w:t>
            </w:r>
          </w:p>
        </w:tc>
      </w:tr>
      <w:tr>
        <w:trPr>
          <w:cantSplit/>
        </w:trPr>
        <w:tc>
          <w:tcPr>
            <w:tcW w:type="dxa" w:w="2088"/>
          </w:tcPr>
          <w:p>
            <w:pPr>
              <w:keepNext w:val="0"/>
            </w:pPr>
            <w:r>
              <w:rPr>
                <w:sz w:val="19"/>
              </w:rPr>
              <w:t>OWASP ZAP and dependency scanning</w:t>
            </w:r>
          </w:p>
        </w:tc>
        <w:tc>
          <w:tcPr>
            <w:tcW w:type="dxa" w:w="3672"/>
          </w:tcPr>
          <w:p>
            <w:pPr>
              <w:keepNext w:val="0"/>
            </w:pPr>
            <w:r>
              <w:rPr>
                <w:sz w:val="19"/>
              </w:rPr>
              <w:t>Authorized staging scans and reviewed dependency findings.</w:t>
            </w:r>
          </w:p>
        </w:tc>
        <w:tc>
          <w:tcPr>
            <w:tcW w:type="dxa" w:w="3600"/>
          </w:tcPr>
          <w:p>
            <w:pPr>
              <w:keepNext w:val="0"/>
            </w:pPr>
            <w:r>
              <w:rPr>
                <w:sz w:val="19"/>
              </w:rPr>
              <w:t>Limit scan scope; validate findings and avoid intrusive production testing.</w:t>
            </w:r>
          </w:p>
        </w:tc>
      </w:tr>
      <w:tr>
        <w:trPr>
          <w:cantSplit/>
        </w:trPr>
        <w:tc>
          <w:tcPr>
            <w:tcW w:type="dxa" w:w="2088"/>
          </w:tcPr>
          <w:p>
            <w:pPr>
              <w:keepNext w:val="0"/>
            </w:pPr>
            <w:r>
              <w:rPr>
                <w:sz w:val="19"/>
              </w:rPr>
              <w:t>Locust or k6</w:t>
            </w:r>
          </w:p>
        </w:tc>
        <w:tc>
          <w:tcPr>
            <w:tcW w:type="dxa" w:w="3672"/>
          </w:tcPr>
          <w:p>
            <w:pPr>
              <w:keepNext w:val="0"/>
            </w:pPr>
            <w:r>
              <w:rPr>
                <w:sz w:val="19"/>
              </w:rPr>
              <w:t>Repeatable workload, latency and error measurements.</w:t>
            </w:r>
          </w:p>
        </w:tc>
        <w:tc>
          <w:tcPr>
            <w:tcW w:type="dxa" w:w="3600"/>
          </w:tcPr>
          <w:p>
            <w:pPr>
              <w:keepNext w:val="0"/>
            </w:pPr>
            <w:r>
              <w:rPr>
                <w:sz w:val="19"/>
              </w:rPr>
              <w:t>Document traffic mix, fixture size and environment capacity.</w:t>
            </w:r>
          </w:p>
        </w:tc>
      </w:tr>
      <w:tr>
        <w:trPr>
          <w:cantSplit/>
        </w:trPr>
        <w:tc>
          <w:tcPr>
            <w:tcW w:type="dxa" w:w="2088"/>
          </w:tcPr>
          <w:p>
            <w:pPr>
              <w:keepNext w:val="0"/>
            </w:pPr>
            <w:r>
              <w:rPr>
                <w:sz w:val="19"/>
              </w:rPr>
              <w:t>GitHub Issues and CI</w:t>
            </w:r>
          </w:p>
        </w:tc>
        <w:tc>
          <w:tcPr>
            <w:tcW w:type="dxa" w:w="3672"/>
          </w:tcPr>
          <w:p>
            <w:pPr>
              <w:keepNext w:val="0"/>
            </w:pPr>
            <w:r>
              <w:rPr>
                <w:sz w:val="19"/>
              </w:rPr>
              <w:t>Bug templates, review evidence and automated release checks.</w:t>
            </w:r>
          </w:p>
        </w:tc>
        <w:tc>
          <w:tcPr>
            <w:tcW w:type="dxa" w:w="3600"/>
          </w:tcPr>
          <w:p>
            <w:pPr>
              <w:keepNext w:val="0"/>
            </w:pPr>
            <w:r>
              <w:rPr>
                <w:sz w:val="19"/>
              </w:rPr>
              <w:t>Use redacted evidence; restricted information stays in approved private systems.</w:t>
            </w:r>
          </w:p>
        </w:tc>
      </w:tr>
    </w:tbl>
    <w:p>
      <w:pPr>
        <w:pStyle w:val="Heading1"/>
      </w:pPr>
      <w:r>
        <w:t>Evaluation metrics and proposed acceptance targets</w:t>
      </w:r>
    </w:p>
    <w:p>
      <w:r>
        <w:t>The following values are proposed project targets, not observed results. Approve the workload and service policies before turning them into release commitments. Compare the candidate build with a recorded baseline under the same conditions.</w:t>
      </w:r>
    </w:p>
    <w:tbl>
      <w:tblPr>
        <w:tblStyle w:val="LightShading-Accent1"/>
        <w:tblW w:type="auto" w:w="0"/>
        <w:tblLayout w:type="fixed"/>
        <w:tblLook w:firstColumn="1" w:firstRow="1" w:lastColumn="0" w:lastRow="0" w:noHBand="0" w:noVBand="1" w:val="04A0"/>
      </w:tblPr>
      <w:tblGrid>
        <w:gridCol w:w="3312"/>
        <w:gridCol w:w="2736"/>
        <w:gridCol w:w="3312"/>
      </w:tblGrid>
      <w:tr>
        <w:trPr>
          <w:cantSplit/>
          <w:tblHeader/>
        </w:trPr>
        <w:tc>
          <w:tcPr>
            <w:tcW w:type="dxa" w:w="3312"/>
          </w:tcPr>
          <w:p>
            <w:pPr>
              <w:keepNext/>
            </w:pPr>
            <w:r>
              <w:rPr>
                <w:sz w:val="19"/>
              </w:rPr>
              <w:t>Metric and calculation</w:t>
            </w:r>
          </w:p>
        </w:tc>
        <w:tc>
          <w:tcPr>
            <w:tcW w:type="dxa" w:w="2736"/>
          </w:tcPr>
          <w:p>
            <w:pPr>
              <w:keepNext/>
            </w:pPr>
            <w:r>
              <w:rPr>
                <w:sz w:val="19"/>
              </w:rPr>
              <w:t>Target</w:t>
            </w:r>
          </w:p>
        </w:tc>
        <w:tc>
          <w:tcPr>
            <w:tcW w:type="dxa" w:w="3312"/>
          </w:tcPr>
          <w:p>
            <w:pPr>
              <w:keepNext/>
            </w:pPr>
            <w:r>
              <w:rPr>
                <w:sz w:val="19"/>
              </w:rPr>
              <w:t>Measurement and owner</w:t>
            </w:r>
          </w:p>
        </w:tc>
      </w:tr>
      <w:tr>
        <w:trPr>
          <w:cantSplit/>
        </w:trPr>
        <w:tc>
          <w:tcPr>
            <w:tcW w:type="dxa" w:w="3312"/>
          </w:tcPr>
          <w:p>
            <w:pPr>
              <w:keepNext w:val="0"/>
            </w:pPr>
            <w:r>
              <w:rPr>
                <w:sz w:val="19"/>
              </w:rPr>
              <w:t>Required critical cases passed / required critical cases executed</w:t>
            </w:r>
          </w:p>
        </w:tc>
        <w:tc>
          <w:tcPr>
            <w:tcW w:type="dxa" w:w="2736"/>
          </w:tcPr>
          <w:p>
            <w:pPr>
              <w:keepNext w:val="0"/>
            </w:pPr>
            <w:r>
              <w:rPr>
                <w:sz w:val="19"/>
              </w:rPr>
              <w:t>100 percent; no blocked critical case at release</w:t>
            </w:r>
          </w:p>
        </w:tc>
        <w:tc>
          <w:tcPr>
            <w:tcW w:type="dxa" w:w="3312"/>
          </w:tcPr>
          <w:p>
            <w:pPr>
              <w:keepNext w:val="0"/>
            </w:pPr>
            <w:r>
              <w:rPr>
                <w:sz w:val="19"/>
              </w:rPr>
              <w:t>QA matrix; QA lead.</w:t>
            </w:r>
          </w:p>
        </w:tc>
      </w:tr>
      <w:tr>
        <w:trPr>
          <w:cantSplit/>
        </w:trPr>
        <w:tc>
          <w:tcPr>
            <w:tcW w:type="dxa" w:w="3312"/>
          </w:tcPr>
          <w:p>
            <w:pPr>
              <w:keepNext w:val="0"/>
            </w:pPr>
            <w:r>
              <w:rPr>
                <w:sz w:val="19"/>
              </w:rPr>
              <w:t>Unresolved critical or high security findings</w:t>
            </w:r>
          </w:p>
        </w:tc>
        <w:tc>
          <w:tcPr>
            <w:tcW w:type="dxa" w:w="2736"/>
          </w:tcPr>
          <w:p>
            <w:pPr>
              <w:keepNext w:val="0"/>
            </w:pPr>
            <w:r>
              <w:rPr>
                <w:sz w:val="19"/>
              </w:rPr>
              <w:t>Zero unless formally justified residual-risk decision is approved</w:t>
            </w:r>
          </w:p>
        </w:tc>
        <w:tc>
          <w:tcPr>
            <w:tcW w:type="dxa" w:w="3312"/>
          </w:tcPr>
          <w:p>
            <w:pPr>
              <w:keepNext w:val="0"/>
            </w:pPr>
            <w:r>
              <w:rPr>
                <w:sz w:val="19"/>
              </w:rPr>
              <w:t>Security register and retests; security lead.</w:t>
            </w:r>
          </w:p>
        </w:tc>
      </w:tr>
      <w:tr>
        <w:trPr>
          <w:cantSplit/>
        </w:trPr>
        <w:tc>
          <w:tcPr>
            <w:tcW w:type="dxa" w:w="3312"/>
          </w:tcPr>
          <w:p>
            <w:pPr>
              <w:keepNext w:val="0"/>
            </w:pPr>
            <w:r>
              <w:rPr>
                <w:sz w:val="19"/>
              </w:rPr>
              <w:t>p95 read and write API latency</w:t>
            </w:r>
          </w:p>
        </w:tc>
        <w:tc>
          <w:tcPr>
            <w:tcW w:type="dxa" w:w="2736"/>
          </w:tcPr>
          <w:p>
            <w:pPr>
              <w:keepNext w:val="0"/>
            </w:pPr>
            <w:r>
              <w:rPr>
                <w:sz w:val="19"/>
              </w:rPr>
              <w:t>Read below 500 ms; write below 1 second, excluding providers</w:t>
            </w:r>
          </w:p>
        </w:tc>
        <w:tc>
          <w:tcPr>
            <w:tcW w:type="dxa" w:w="3312"/>
          </w:tcPr>
          <w:p>
            <w:pPr>
              <w:keepNext w:val="0"/>
            </w:pPr>
            <w:r>
              <w:rPr>
                <w:sz w:val="19"/>
              </w:rPr>
              <w:t>Staging load report; operations lead.</w:t>
            </w:r>
          </w:p>
        </w:tc>
      </w:tr>
      <w:tr>
        <w:trPr>
          <w:cantSplit/>
        </w:trPr>
        <w:tc>
          <w:tcPr>
            <w:tcW w:type="dxa" w:w="3312"/>
          </w:tcPr>
          <w:p>
            <w:pPr>
              <w:keepNext w:val="0"/>
            </w:pPr>
            <w:r>
              <w:rPr>
                <w:sz w:val="19"/>
              </w:rPr>
              <w:t>Unexpected 5xx responses / valid workload requests</w:t>
            </w:r>
          </w:p>
        </w:tc>
        <w:tc>
          <w:tcPr>
            <w:tcW w:type="dxa" w:w="2736"/>
          </w:tcPr>
          <w:p>
            <w:pPr>
              <w:keepNext w:val="0"/>
            </w:pPr>
            <w:r>
              <w:rPr>
                <w:sz w:val="19"/>
              </w:rPr>
              <w:t>Below 1 percent during the baseline load test</w:t>
            </w:r>
          </w:p>
        </w:tc>
        <w:tc>
          <w:tcPr>
            <w:tcW w:type="dxa" w:w="3312"/>
          </w:tcPr>
          <w:p>
            <w:pPr>
              <w:keepNext w:val="0"/>
            </w:pPr>
            <w:r>
              <w:rPr>
                <w:sz w:val="19"/>
              </w:rPr>
              <w:t>Load output and safe server metrics; backend lead.</w:t>
            </w:r>
          </w:p>
        </w:tc>
      </w:tr>
      <w:tr>
        <w:trPr>
          <w:cantSplit/>
        </w:trPr>
        <w:tc>
          <w:tcPr>
            <w:tcW w:type="dxa" w:w="3312"/>
          </w:tcPr>
          <w:p>
            <w:pPr>
              <w:keepNext w:val="0"/>
            </w:pPr>
            <w:r>
              <w:rPr>
                <w:sz w:val="19"/>
              </w:rPr>
              <w:t>Successful user task completions / attempted tasks</w:t>
            </w:r>
          </w:p>
        </w:tc>
        <w:tc>
          <w:tcPr>
            <w:tcW w:type="dxa" w:w="2736"/>
          </w:tcPr>
          <w:p>
            <w:pPr>
              <w:keepNext w:val="0"/>
            </w:pPr>
            <w:r>
              <w:rPr>
                <w:sz w:val="19"/>
              </w:rPr>
              <w:t>At least 4 of 5 participants complete core journey without assistance</w:t>
            </w:r>
          </w:p>
        </w:tc>
        <w:tc>
          <w:tcPr>
            <w:tcW w:type="dxa" w:w="3312"/>
          </w:tcPr>
          <w:p>
            <w:pPr>
              <w:keepNext w:val="0"/>
            </w:pPr>
            <w:r>
              <w:rPr>
                <w:sz w:val="19"/>
              </w:rPr>
              <w:t>Observed tasks; UX lead.</w:t>
            </w:r>
          </w:p>
        </w:tc>
      </w:tr>
      <w:tr>
        <w:trPr>
          <w:cantSplit/>
        </w:trPr>
        <w:tc>
          <w:tcPr>
            <w:tcW w:type="dxa" w:w="3312"/>
          </w:tcPr>
          <w:p>
            <w:pPr>
              <w:keepNext w:val="0"/>
            </w:pPr>
            <w:r>
              <w:rPr>
                <w:sz w:val="19"/>
              </w:rPr>
              <w:t>Unresolved critical accessibility barriers</w:t>
            </w:r>
          </w:p>
        </w:tc>
        <w:tc>
          <w:tcPr>
            <w:tcW w:type="dxa" w:w="2736"/>
          </w:tcPr>
          <w:p>
            <w:pPr>
              <w:keepNext w:val="0"/>
            </w:pPr>
            <w:r>
              <w:rPr>
                <w:sz w:val="19"/>
              </w:rPr>
              <w:t>Zero; remaining findings reviewed against WCAG 2.2 AA target</w:t>
            </w:r>
          </w:p>
        </w:tc>
        <w:tc>
          <w:tcPr>
            <w:tcW w:type="dxa" w:w="3312"/>
          </w:tcPr>
          <w:p>
            <w:pPr>
              <w:keepNext w:val="0"/>
            </w:pPr>
            <w:r>
              <w:rPr>
                <w:sz w:val="19"/>
              </w:rPr>
              <w:t>Manual and automated evidence; UX lead.</w:t>
            </w:r>
          </w:p>
        </w:tc>
      </w:tr>
      <w:tr>
        <w:trPr>
          <w:cantSplit/>
        </w:trPr>
        <w:tc>
          <w:tcPr>
            <w:tcW w:type="dxa" w:w="3312"/>
          </w:tcPr>
          <w:p>
            <w:pPr>
              <w:keepNext w:val="0"/>
            </w:pPr>
            <w:r>
              <w:rPr>
                <w:sz w:val="19"/>
              </w:rPr>
              <w:t>Successful service minutes / eligible minutes per month</w:t>
            </w:r>
          </w:p>
        </w:tc>
        <w:tc>
          <w:tcPr>
            <w:tcW w:type="dxa" w:w="2736"/>
          </w:tcPr>
          <w:p>
            <w:pPr>
              <w:keepNext w:val="0"/>
            </w:pPr>
            <w:r>
              <w:rPr>
                <w:sz w:val="19"/>
              </w:rPr>
              <w:t>99.5 percent after launch, excluding approved maintenance</w:t>
            </w:r>
          </w:p>
        </w:tc>
        <w:tc>
          <w:tcPr>
            <w:tcW w:type="dxa" w:w="3312"/>
          </w:tcPr>
          <w:p>
            <w:pPr>
              <w:keepNext w:val="0"/>
            </w:pPr>
            <w:r>
              <w:rPr>
                <w:sz w:val="19"/>
              </w:rPr>
              <w:t>Monitoring records; operations lead.</w:t>
            </w:r>
          </w:p>
        </w:tc>
      </w:tr>
      <w:tr>
        <w:trPr>
          <w:cantSplit/>
        </w:trPr>
        <w:tc>
          <w:tcPr>
            <w:tcW w:type="dxa" w:w="3312"/>
          </w:tcPr>
          <w:p>
            <w:pPr>
              <w:keepNext w:val="0"/>
            </w:pPr>
            <w:r>
              <w:rPr>
                <w:sz w:val="19"/>
              </w:rPr>
              <w:t>Restore data loss window and restore duration</w:t>
            </w:r>
          </w:p>
        </w:tc>
        <w:tc>
          <w:tcPr>
            <w:tcW w:type="dxa" w:w="2736"/>
          </w:tcPr>
          <w:p>
            <w:pPr>
              <w:keepNext w:val="0"/>
            </w:pPr>
            <w:r>
              <w:rPr>
                <w:sz w:val="19"/>
              </w:rPr>
              <w:t>RPO at most 24 hours; RTO at most 4 hours</w:t>
            </w:r>
          </w:p>
        </w:tc>
        <w:tc>
          <w:tcPr>
            <w:tcW w:type="dxa" w:w="3312"/>
          </w:tcPr>
          <w:p>
            <w:pPr>
              <w:keepNext w:val="0"/>
            </w:pPr>
            <w:r>
              <w:rPr>
                <w:sz w:val="19"/>
              </w:rPr>
              <w:t>Restore exercise; operations lead.</w:t>
            </w:r>
          </w:p>
        </w:tc>
      </w:tr>
    </w:tbl>
    <w:p>
      <w:pPr>
        <w:pStyle w:val="Heading1"/>
      </w:pPr>
      <w:r>
        <w:t>Performance workload and reliability experiments</w:t>
      </w:r>
    </w:p>
    <w:p>
      <w:r>
        <w:t>The first baseline uses 50 concurrent synthetic users for 15 minutes after five minutes of warm-up. Proposed request mix is 60 percent catalogue reads, 25 percent owned tracking reads and 15 percent draft or submission writes. Seed 10000 applications across departments and provide valid clean evidence for submission fixtures. Record hardware, database configuration, worker count and network assumptions.</w:t>
      </w:r>
    </w:p>
    <w:p>
      <w:r>
        <w:t>Capture p50 and p95 latency, throughput, unexpected errors, database resource use, slow queries, queue depth and scan/notification delay. Run a dependency outage experiment and confirm safe failure, retry limits and recovery. Provider time is reported separately rather than silently discarded. A later pilot establishes realistic demand and revises capacity targets.</w:t>
      </w:r>
    </w:p>
    <w:p>
      <w:pPr>
        <w:pStyle w:val="Heading1"/>
      </w:pPr>
      <w:r>
        <w:t>Bug reporting triage and verification</w:t>
      </w:r>
    </w:p>
    <w:p>
      <w:r>
        <w:t>Every issue contains a concise title, build/commit, environment, affected requirement, reproduction steps, expected and actual behavior, severity, priority, owner, evidence and impact. Attach redacted screenshots or traces. Record workarounds and whether the problem affects access, privacy, decisions or data integrity.</w:t>
      </w:r>
    </w:p>
    <w:p>
      <w:r>
        <w:t>Workflow: New &gt; Triaged &gt; Assigned &gt; In progress &gt; Ready for retest &gt; Verified &gt; Closed. Failed retest reopens the issue. Severity describes impact; priority determines scheduling. Security findings may require restricted tracking rather than a public GitHub issue.</w:t>
      </w:r>
    </w:p>
    <w:tbl>
      <w:tblPr>
        <w:tblStyle w:val="LightShading-Accent1"/>
        <w:tblW w:type="auto" w:w="0"/>
        <w:tblLayout w:type="fixed"/>
        <w:tblLook w:firstColumn="1" w:firstRow="1" w:lastColumn="0" w:lastRow="0" w:noHBand="0" w:noVBand="1" w:val="04A0"/>
      </w:tblPr>
      <w:tblGrid>
        <w:gridCol w:w="1440"/>
        <w:gridCol w:w="5112"/>
        <w:gridCol w:w="2808"/>
      </w:tblGrid>
      <w:tr>
        <w:trPr>
          <w:cantSplit/>
          <w:tblHeader/>
        </w:trPr>
        <w:tc>
          <w:tcPr>
            <w:tcW w:type="dxa" w:w="1440"/>
          </w:tcPr>
          <w:p>
            <w:pPr>
              <w:keepNext/>
            </w:pPr>
            <w:r>
              <w:rPr>
                <w:sz w:val="19"/>
              </w:rPr>
              <w:t>Severity</w:t>
            </w:r>
          </w:p>
        </w:tc>
        <w:tc>
          <w:tcPr>
            <w:tcW w:type="dxa" w:w="5112"/>
          </w:tcPr>
          <w:p>
            <w:pPr>
              <w:keepNext/>
            </w:pPr>
            <w:r>
              <w:rPr>
                <w:sz w:val="19"/>
              </w:rPr>
              <w:t>Example and response target</w:t>
            </w:r>
          </w:p>
        </w:tc>
        <w:tc>
          <w:tcPr>
            <w:tcW w:type="dxa" w:w="2808"/>
          </w:tcPr>
          <w:p>
            <w:pPr>
              <w:keepNext/>
            </w:pPr>
            <w:r>
              <w:rPr>
                <w:sz w:val="19"/>
              </w:rPr>
              <w:t>Closure rule</w:t>
            </w:r>
          </w:p>
        </w:tc>
      </w:tr>
      <w:tr>
        <w:trPr>
          <w:cantSplit/>
        </w:trPr>
        <w:tc>
          <w:tcPr>
            <w:tcW w:type="dxa" w:w="1440"/>
          </w:tcPr>
          <w:p>
            <w:pPr>
              <w:keepNext w:val="0"/>
            </w:pPr>
            <w:r>
              <w:rPr>
                <w:sz w:val="19"/>
              </w:rPr>
              <w:t>Critical P0</w:t>
            </w:r>
          </w:p>
        </w:tc>
        <w:tc>
          <w:tcPr>
            <w:tcW w:type="dxa" w:w="5112"/>
          </w:tcPr>
          <w:p>
            <w:pPr>
              <w:keepNext w:val="0"/>
            </w:pPr>
            <w:r>
              <w:rPr>
                <w:sz w:val="19"/>
              </w:rPr>
              <w:t>Unauthorized record disclosure or decision tampering. Triage within 1 hour; contain immediately; fix target within 24 hours.</w:t>
            </w:r>
          </w:p>
        </w:tc>
        <w:tc>
          <w:tcPr>
            <w:tcW w:type="dxa" w:w="2808"/>
          </w:tcPr>
          <w:p>
            <w:pPr>
              <w:keepNext w:val="0"/>
            </w:pPr>
            <w:r>
              <w:rPr>
                <w:sz w:val="19"/>
              </w:rPr>
              <w:t>Block release; security lead verifies and approves containment/retest.</w:t>
            </w:r>
          </w:p>
        </w:tc>
      </w:tr>
      <w:tr>
        <w:trPr>
          <w:cantSplit/>
        </w:trPr>
        <w:tc>
          <w:tcPr>
            <w:tcW w:type="dxa" w:w="1440"/>
          </w:tcPr>
          <w:p>
            <w:pPr>
              <w:keepNext w:val="0"/>
            </w:pPr>
            <w:r>
              <w:rPr>
                <w:sz w:val="19"/>
              </w:rPr>
              <w:t>High P1</w:t>
            </w:r>
          </w:p>
        </w:tc>
        <w:tc>
          <w:tcPr>
            <w:tcW w:type="dxa" w:w="5112"/>
          </w:tcPr>
          <w:p>
            <w:pPr>
              <w:keepNext w:val="0"/>
            </w:pPr>
            <w:r>
              <w:rPr>
                <w:sz w:val="19"/>
              </w:rPr>
              <w:t>Submission unavailable or widespread invalid outcomes. Triage within 4 hours; fix target within 2 working days.</w:t>
            </w:r>
          </w:p>
        </w:tc>
        <w:tc>
          <w:tcPr>
            <w:tcW w:type="dxa" w:w="2808"/>
          </w:tcPr>
          <w:p>
            <w:pPr>
              <w:keepNext w:val="0"/>
            </w:pPr>
            <w:r>
              <w:rPr>
                <w:sz w:val="19"/>
              </w:rPr>
              <w:t>Core affected cases and regression pass.</w:t>
            </w:r>
          </w:p>
        </w:tc>
      </w:tr>
      <w:tr>
        <w:trPr>
          <w:cantSplit/>
        </w:trPr>
        <w:tc>
          <w:tcPr>
            <w:tcW w:type="dxa" w:w="1440"/>
          </w:tcPr>
          <w:p>
            <w:pPr>
              <w:keepNext w:val="0"/>
            </w:pPr>
            <w:r>
              <w:rPr>
                <w:sz w:val="19"/>
              </w:rPr>
              <w:t>Medium P2</w:t>
            </w:r>
          </w:p>
        </w:tc>
        <w:tc>
          <w:tcPr>
            <w:tcW w:type="dxa" w:w="5112"/>
          </w:tcPr>
          <w:p>
            <w:pPr>
              <w:keepNext w:val="0"/>
            </w:pPr>
            <w:r>
              <w:rPr>
                <w:sz w:val="19"/>
              </w:rPr>
              <w:t>Recoverable validation or layout defect. Triage within 1 working day; fix target within 5 working days.</w:t>
            </w:r>
          </w:p>
        </w:tc>
        <w:tc>
          <w:tcPr>
            <w:tcW w:type="dxa" w:w="2808"/>
          </w:tcPr>
          <w:p>
            <w:pPr>
              <w:keepNext w:val="0"/>
            </w:pPr>
            <w:r>
              <w:rPr>
                <w:sz w:val="19"/>
              </w:rPr>
              <w:t>Targeted retest and UX review as relevant.</w:t>
            </w:r>
          </w:p>
        </w:tc>
      </w:tr>
      <w:tr>
        <w:trPr>
          <w:cantSplit/>
        </w:trPr>
        <w:tc>
          <w:tcPr>
            <w:tcW w:type="dxa" w:w="1440"/>
          </w:tcPr>
          <w:p>
            <w:pPr>
              <w:keepNext w:val="0"/>
            </w:pPr>
            <w:r>
              <w:rPr>
                <w:sz w:val="19"/>
              </w:rPr>
              <w:t>Low P3</w:t>
            </w:r>
          </w:p>
        </w:tc>
        <w:tc>
          <w:tcPr>
            <w:tcW w:type="dxa" w:w="5112"/>
          </w:tcPr>
          <w:p>
            <w:pPr>
              <w:keepNext w:val="0"/>
            </w:pPr>
            <w:r>
              <w:rPr>
                <w:sz w:val="19"/>
              </w:rPr>
              <w:t>Cosmetic or minor wording issue. Review within 3 working days; schedule next planned release.</w:t>
            </w:r>
          </w:p>
        </w:tc>
        <w:tc>
          <w:tcPr>
            <w:tcW w:type="dxa" w:w="2808"/>
          </w:tcPr>
          <w:p>
            <w:pPr>
              <w:keepNext w:val="0"/>
            </w:pPr>
            <w:r>
              <w:rPr>
                <w:sz w:val="19"/>
              </w:rPr>
              <w:t>Content or layout review confirms correction.</w:t>
            </w:r>
          </w:p>
        </w:tc>
      </w:tr>
    </w:tbl>
    <w:p>
      <w:pPr>
        <w:pStyle w:val="Heading1"/>
      </w:pPr>
      <w:r>
        <w:t>Continuous improvement and revision guidelines</w:t>
      </w:r>
    </w:p>
    <w:p>
      <w:r>
        <w:t>Collect optional post-task feedback, support and grievance themes, officer observations, accessibility findings and privacy-safe operational metrics. Do not collect unnecessary identifiers or raw evidence in analytics. Provide an assisted feedback route for users unable to complete a digital form.</w:t>
      </w:r>
    </w:p>
    <w:p>
      <w:r>
        <w:t>Weekly: review defects, failed jobs and support patterns; assign fixes and retest owners. Monthly: compare KPIs with baseline, inspect backlog themes, review service content and translations, and prioritize improvements by user impact, risk and effort. Quarterly: repeat representative usability checks, access reviews and restoration exercises. Repeat assurance checks after major workflow, provider or storage changes.</w:t>
      </w:r>
    </w:p>
    <w:p>
      <w:r>
        <w:t>For each revision, link the finding to a requirement, describe the proposed change, assess security/privacy/accessibility impact, define measurable acceptance criteria and update fixtures, documentation and regression tests. Peer-review code and migrations. Promote to staging, record results and obtain the accountable owner approval before a controlled rollout.</w:t>
      </w:r>
    </w:p>
    <w:p>
      <w:r>
        <w:t>Use a rollback plan with compatible migrations and verified backups. Monitor errors and core journeys during rollout; revert on serious privacy, integrity or availability regressions. Compare post-release results against baseline, publish an internal change summary, and confirm whether the original user problem was resolved.</w:t>
      </w:r>
    </w:p>
    <w:p>
      <w:pPr>
        <w:pStyle w:val="Heading1"/>
      </w:pPr>
      <w:r>
        <w:t>Five week timeline and release decision</w:t>
      </w:r>
    </w:p>
    <w:p>
      <w:r>
        <w:t>Weeks 1 to 4 establish requirements, UX, backend/API design and security strategy. Week 5 completes the testing inventory, metrics, bug workflow and improvement plan. Implementation and operational test execution remain a later phase; this additional week extends the planning programme rather than certifying a live portal.</w:t>
      </w:r>
    </w:p>
    <w:p>
      <w:r>
        <w:t>Before a pilot, developers supply implemented features and automated results; QA records all required scenarios; the UX lead validates critical accessibility journeys; the security lead reviews authorization and evidence handling; operations demonstrates restoration; and the department owner accepts content and workflow behavior. Unexecuted critical tests, exposed evidence or unapproved applicable obligations block release.</w:t>
      </w:r>
    </w:p>
    <w:p>
      <w:r>
        <w:t>The release record identifies build, test environment, executed/blocked cases, unresolved findings, residual risks, approvals, monitoring and rollback ownership. No pass rate or performance result should be fabricated to complete this assignment.</w:t>
      </w:r>
    </w:p>
    <w:p>
      <w:pPr>
        <w:pStyle w:val="Heading1"/>
      </w:pPr>
      <w:r>
        <w:t>Public references</w:t>
      </w:r>
    </w:p>
    <w:p>
      <w:r>
        <w:t>W3C. Web Content Accessibility Guidelines 2.2. https://www.w3.org/TR/WCAG22/</w:t>
      </w:r>
    </w:p>
    <w:p>
      <w:r>
        <w:t>Django Software Foundation. Testing in Django. https://docs.djangoproject.com/en/stable/topics/testing/</w:t>
      </w:r>
    </w:p>
    <w:p>
      <w:r>
        <w:t>Playwright. Introduction and testing documentation. https://playwright.dev/docs/intro</w:t>
      </w:r>
    </w:p>
    <w:p>
      <w:r>
        <w:t>OWASP. Web Security Testing Guide. https://owasp.org/www-project-web-security-testing-guide/</w:t>
      </w:r>
    </w:p>
    <w:p>
      <w:r>
        <w:t>OWASP ZAP. Getting started. https://www.zaproxy.org/getting-started/</w:t>
      </w:r>
    </w:p>
    <w:p>
      <w:r>
        <w:t>Locust. Documentation. https://docs.locust.io/en/stable/</w:t>
      </w:r>
    </w:p>
    <w:p>
      <w:r>
        <w:t>National Informatics Centre. GIGW. https://guidelines.india.gov.in/</w:t>
      </w:r>
    </w:p>
    <w:p>
      <w:r>
        <w:t>These public references support the planned methods. Verify current tool versions and official requirements before implementation.</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Calibri" w:hAnsi="Calibr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Calibri" w:hAnsi="Calibr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Calibri" w:hAnsi="Calibr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Calibri" w:hAnsi="Calibr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Calibri" w:hAnsi="Calibr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Calibri" w:hAnsi="Calibri"/>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color w:val="000000"/>
    </w:rPr>
  </w:style>
  <w:style w:type="paragraph" w:styleId="BodyText">
    <w:name w:val="Body Text"/>
    <w:basedOn w:val="Normal"/>
    <w:link w:val="BodyTextChar"/>
    <w:uiPriority w:val="99"/>
    <w:unhideWhenUsed/>
    <w:rsid w:val="00AA1D8D"/>
    <w:pPr>
      <w:spacing w:after="120"/>
    </w:pPr>
    <w:rPr>
      <w:rFonts w:ascii="Calibri" w:hAnsi="Calibri"/>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Calibri" w:hAnsi="Calibri"/>
      <w:color w:val="000000"/>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Calibri" w:hAnsi="Calibri"/>
      <w:color w:val="000000"/>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Calibri" w:hAnsi="Calibri"/>
      <w:color w:val="000000"/>
    </w:rPr>
  </w:style>
  <w:style w:type="paragraph" w:styleId="List2">
    <w:name w:val="List 2"/>
    <w:basedOn w:val="Normal"/>
    <w:uiPriority w:val="99"/>
    <w:unhideWhenUsed/>
    <w:rsid w:val="00326F90"/>
    <w:pPr>
      <w:ind w:left="720" w:hanging="360"/>
      <w:contextualSpacing/>
    </w:pPr>
    <w:rPr>
      <w:rFonts w:ascii="Calibri" w:hAnsi="Calibri"/>
      <w:color w:val="000000"/>
    </w:rPr>
  </w:style>
  <w:style w:type="paragraph" w:styleId="List3">
    <w:name w:val="List 3"/>
    <w:basedOn w:val="Normal"/>
    <w:uiPriority w:val="99"/>
    <w:unhideWhenUsed/>
    <w:rsid w:val="00326F90"/>
    <w:pPr>
      <w:ind w:left="1080" w:hanging="360"/>
      <w:contextualSpacing/>
    </w:pPr>
    <w:rPr>
      <w:rFonts w:ascii="Calibri" w:hAnsi="Calibri"/>
      <w:color w:val="000000"/>
    </w:rPr>
  </w:style>
  <w:style w:type="paragraph" w:styleId="ListBullet">
    <w:name w:val="List Bullet"/>
    <w:basedOn w:val="Normal"/>
    <w:uiPriority w:val="99"/>
    <w:unhideWhenUsed/>
    <w:rsid w:val="00326F90"/>
    <w:pPr>
      <w:numPr>
        <w:numId w:val="1"/>
      </w:numPr>
      <w:contextualSpacing/>
    </w:pPr>
    <w:rPr>
      <w:rFonts w:ascii="Calibri" w:hAnsi="Calibri"/>
      <w:color w:val="000000"/>
    </w:rPr>
  </w:style>
  <w:style w:type="paragraph" w:styleId="ListBullet2">
    <w:name w:val="List Bullet 2"/>
    <w:basedOn w:val="Normal"/>
    <w:uiPriority w:val="99"/>
    <w:unhideWhenUsed/>
    <w:rsid w:val="00326F90"/>
    <w:pPr>
      <w:numPr>
        <w:numId w:val="2"/>
      </w:numPr>
      <w:contextualSpacing/>
    </w:pPr>
    <w:rPr>
      <w:rFonts w:ascii="Calibri" w:hAnsi="Calibri"/>
      <w:color w:val="000000"/>
    </w:rPr>
  </w:style>
  <w:style w:type="paragraph" w:styleId="ListBullet3">
    <w:name w:val="List Bullet 3"/>
    <w:basedOn w:val="Normal"/>
    <w:uiPriority w:val="99"/>
    <w:unhideWhenUsed/>
    <w:rsid w:val="00326F90"/>
    <w:pPr>
      <w:numPr>
        <w:numId w:val="3"/>
      </w:numPr>
      <w:contextualSpacing/>
    </w:pPr>
    <w:rPr>
      <w:rFonts w:ascii="Calibri" w:hAnsi="Calibri"/>
      <w:color w:val="000000"/>
    </w:rPr>
  </w:style>
  <w:style w:type="paragraph" w:styleId="ListNumber">
    <w:name w:val="List Number"/>
    <w:basedOn w:val="Normal"/>
    <w:uiPriority w:val="99"/>
    <w:unhideWhenUsed/>
    <w:rsid w:val="00326F90"/>
    <w:pPr>
      <w:numPr>
        <w:numId w:val="5"/>
      </w:numPr>
      <w:contextualSpacing/>
    </w:pPr>
    <w:rPr>
      <w:rFonts w:ascii="Calibri" w:hAnsi="Calibri"/>
      <w:color w:val="000000"/>
    </w:rPr>
  </w:style>
  <w:style w:type="paragraph" w:styleId="ListNumber2">
    <w:name w:val="List Number 2"/>
    <w:basedOn w:val="Normal"/>
    <w:uiPriority w:val="99"/>
    <w:unhideWhenUsed/>
    <w:rsid w:val="0029639D"/>
    <w:pPr>
      <w:numPr>
        <w:numId w:val="6"/>
      </w:numPr>
      <w:contextualSpacing/>
    </w:pPr>
    <w:rPr>
      <w:rFonts w:ascii="Calibri" w:hAnsi="Calibri"/>
      <w:color w:val="000000"/>
    </w:rPr>
  </w:style>
  <w:style w:type="paragraph" w:styleId="ListNumber3">
    <w:name w:val="List Number 3"/>
    <w:basedOn w:val="Normal"/>
    <w:uiPriority w:val="99"/>
    <w:unhideWhenUsed/>
    <w:rsid w:val="0029639D"/>
    <w:pPr>
      <w:numPr>
        <w:numId w:val="7"/>
      </w:numPr>
      <w:contextualSpacing/>
    </w:pPr>
    <w:rPr>
      <w:rFonts w:ascii="Calibri" w:hAnsi="Calibri"/>
      <w:color w:val="000000"/>
    </w:rPr>
  </w:style>
  <w:style w:type="paragraph" w:styleId="ListContinue">
    <w:name w:val="List Continue"/>
    <w:basedOn w:val="Normal"/>
    <w:uiPriority w:val="99"/>
    <w:unhideWhenUsed/>
    <w:rsid w:val="0029639D"/>
    <w:pPr>
      <w:spacing w:after="120"/>
      <w:ind w:left="360"/>
      <w:contextualSpacing/>
    </w:pPr>
    <w:rPr>
      <w:rFonts w:ascii="Calibri" w:hAnsi="Calibri"/>
      <w:color w:val="000000"/>
    </w:rPr>
  </w:style>
  <w:style w:type="paragraph" w:styleId="ListContinue2">
    <w:name w:val="List Continue 2"/>
    <w:basedOn w:val="Normal"/>
    <w:uiPriority w:val="99"/>
    <w:unhideWhenUsed/>
    <w:rsid w:val="0029639D"/>
    <w:pPr>
      <w:spacing w:after="120"/>
      <w:ind w:left="720"/>
      <w:contextualSpacing/>
    </w:pPr>
    <w:rPr>
      <w:rFonts w:ascii="Calibri" w:hAnsi="Calibri"/>
      <w:color w:val="000000"/>
    </w:rPr>
  </w:style>
  <w:style w:type="paragraph" w:styleId="ListContinue3">
    <w:name w:val="List Continue 3"/>
    <w:basedOn w:val="Normal"/>
    <w:uiPriority w:val="99"/>
    <w:unhideWhenUsed/>
    <w:rsid w:val="0029639D"/>
    <w:pPr>
      <w:spacing w:after="120"/>
      <w:ind w:left="1080"/>
      <w:contextualSpacing/>
    </w:pPr>
    <w:rPr>
      <w:rFonts w:ascii="Calibri" w:hAnsi="Calibri"/>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alibri" w:hAnsi="Calibri"/>
      <w:color w:val="000000"/>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Calibri" w:hAnsi="Calibri"/>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5 Testing Evaluation and Continuous Improvement Strategy</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