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073BA" w14:textId="77777777" w:rsidR="00F03979" w:rsidRDefault="00000000">
      <w:pPr>
        <w:spacing w:before="1440" w:after="240"/>
      </w:pPr>
      <w:r>
        <w:rPr>
          <w:b/>
          <w:bCs/>
          <w:color w:val="1D5C8C"/>
          <w:sz w:val="72"/>
          <w:szCs w:val="72"/>
        </w:rPr>
        <w:t>Dotcommon</w:t>
      </w:r>
    </w:p>
    <w:p w14:paraId="58D4867A" w14:textId="77777777" w:rsidR="00F03979" w:rsidRDefault="00000000">
      <w:pPr>
        <w:spacing w:after="160"/>
      </w:pPr>
      <w:r>
        <w:rPr>
          <w:color w:val="0F6E56"/>
          <w:sz w:val="30"/>
          <w:szCs w:val="30"/>
        </w:rPr>
        <w:t>Community Owned Money, Markets, and Open Networks</w:t>
      </w:r>
    </w:p>
    <w:p w14:paraId="6C37E357" w14:textId="77777777" w:rsidR="00F03979" w:rsidRDefault="00000000">
      <w:pPr>
        <w:spacing w:after="80"/>
      </w:pPr>
      <w:r>
        <w:rPr>
          <w:b/>
          <w:bCs/>
          <w:color w:val="444444"/>
          <w:sz w:val="28"/>
          <w:szCs w:val="28"/>
        </w:rPr>
        <w:t>Business Plan</w:t>
      </w:r>
    </w:p>
    <w:p w14:paraId="37196576" w14:textId="77777777" w:rsidR="00F03979" w:rsidRDefault="00000000">
      <w:pPr>
        <w:spacing w:after="1440"/>
      </w:pPr>
      <w:r>
        <w:rPr>
          <w:color w:val="666666"/>
        </w:rPr>
        <w:t>March 2026 — Confidential Draft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03979" w14:paraId="3D1792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0F7"/>
            <w:tcMar>
              <w:top w:w="120" w:type="dxa"/>
              <w:left w:w="160" w:type="dxa"/>
              <w:bottom w:w="120" w:type="dxa"/>
              <w:right w:w="160" w:type="dxa"/>
            </w:tcMar>
          </w:tcPr>
          <w:p w14:paraId="64562639" w14:textId="77777777" w:rsidR="00F03979" w:rsidRDefault="00000000">
            <w:pPr>
              <w:spacing w:after="40"/>
            </w:pPr>
            <w:r>
              <w:rPr>
                <w:b/>
                <w:bCs/>
                <w:color w:val="1D5C8C"/>
                <w:sz w:val="18"/>
                <w:szCs w:val="18"/>
              </w:rPr>
              <w:t>Target sector</w:t>
            </w:r>
          </w:p>
          <w:p w14:paraId="5805480D" w14:textId="77777777" w:rsidR="00F03979" w:rsidRDefault="00000000">
            <w:r>
              <w:rPr>
                <w:color w:val="333333"/>
                <w:sz w:val="18"/>
                <w:szCs w:val="18"/>
              </w:rPr>
              <w:t>Independent workers &amp; small businesses</w:t>
            </w:r>
          </w:p>
        </w:tc>
        <w:tc>
          <w:tcPr>
            <w:tcW w:w="3120" w:type="dxa"/>
            <w:tcBorders>
              <w:top w:val="single" w:sz="1" w:space="0" w:color="CCCCCC"/>
              <w:left w:val="single" w:sz="1" w:space="0" w:color="CCCCCC"/>
              <w:bottom w:val="single" w:sz="1" w:space="0" w:color="CCCCCC"/>
              <w:right w:val="single" w:sz="1" w:space="0" w:color="CCCCCC"/>
            </w:tcBorders>
            <w:shd w:val="clear" w:color="auto" w:fill="E8F0F7"/>
            <w:tcMar>
              <w:top w:w="120" w:type="dxa"/>
              <w:left w:w="160" w:type="dxa"/>
              <w:bottom w:w="120" w:type="dxa"/>
              <w:right w:w="160" w:type="dxa"/>
            </w:tcMar>
          </w:tcPr>
          <w:p w14:paraId="5DA9F16A" w14:textId="77777777" w:rsidR="00F03979" w:rsidRDefault="00000000">
            <w:pPr>
              <w:spacing w:after="40"/>
            </w:pPr>
            <w:r>
              <w:rPr>
                <w:b/>
                <w:bCs/>
                <w:color w:val="1D5C8C"/>
                <w:sz w:val="18"/>
                <w:szCs w:val="18"/>
              </w:rPr>
              <w:t>Infrastructure</w:t>
            </w:r>
          </w:p>
          <w:p w14:paraId="5B9F4F6A" w14:textId="77777777" w:rsidR="00F03979" w:rsidRDefault="00000000">
            <w:proofErr w:type="gramStart"/>
            <w:r>
              <w:rPr>
                <w:color w:val="333333"/>
                <w:sz w:val="18"/>
                <w:szCs w:val="18"/>
              </w:rPr>
              <w:t>On-chain</w:t>
            </w:r>
            <w:proofErr w:type="gramEnd"/>
            <w:r>
              <w:rPr>
                <w:color w:val="333333"/>
                <w:sz w:val="18"/>
                <w:szCs w:val="18"/>
              </w:rPr>
              <w:t xml:space="preserve"> (DAI / Optimism)</w:t>
            </w:r>
          </w:p>
        </w:tc>
        <w:tc>
          <w:tcPr>
            <w:tcW w:w="3120" w:type="dxa"/>
            <w:tcBorders>
              <w:top w:val="single" w:sz="1" w:space="0" w:color="CCCCCC"/>
              <w:left w:val="single" w:sz="1" w:space="0" w:color="CCCCCC"/>
              <w:bottom w:val="single" w:sz="1" w:space="0" w:color="CCCCCC"/>
              <w:right w:val="single" w:sz="1" w:space="0" w:color="CCCCCC"/>
            </w:tcBorders>
            <w:shd w:val="clear" w:color="auto" w:fill="E8F0F7"/>
            <w:tcMar>
              <w:top w:w="120" w:type="dxa"/>
              <w:left w:w="160" w:type="dxa"/>
              <w:bottom w:w="120" w:type="dxa"/>
              <w:right w:w="160" w:type="dxa"/>
            </w:tcMar>
          </w:tcPr>
          <w:p w14:paraId="09B68288" w14:textId="77777777" w:rsidR="00F03979" w:rsidRDefault="00000000">
            <w:pPr>
              <w:spacing w:after="40"/>
            </w:pPr>
            <w:r>
              <w:rPr>
                <w:b/>
                <w:bCs/>
                <w:color w:val="1D5C8C"/>
                <w:sz w:val="18"/>
                <w:szCs w:val="18"/>
              </w:rPr>
              <w:t>Governance</w:t>
            </w:r>
          </w:p>
          <w:p w14:paraId="39BA59E6" w14:textId="77777777" w:rsidR="00F03979" w:rsidRDefault="00000000">
            <w:r>
              <w:rPr>
                <w:color w:val="333333"/>
                <w:sz w:val="18"/>
                <w:szCs w:val="18"/>
              </w:rPr>
              <w:t>Reputation-weighted (Colony)</w:t>
            </w:r>
          </w:p>
        </w:tc>
      </w:tr>
    </w:tbl>
    <w:p w14:paraId="4C66243F" w14:textId="4720982E" w:rsidR="00F03979" w:rsidRDefault="00F03979"/>
    <w:p w14:paraId="2E154AA2" w14:textId="77777777" w:rsidR="00F50100" w:rsidRDefault="00F50100"/>
    <w:p w14:paraId="1316DC02" w14:textId="77777777" w:rsidR="00F50100" w:rsidRDefault="00F50100"/>
    <w:p w14:paraId="5D99D629" w14:textId="77777777" w:rsidR="00F50100" w:rsidRDefault="00F50100"/>
    <w:p w14:paraId="058963D3" w14:textId="77777777" w:rsidR="00F03979" w:rsidRDefault="00000000">
      <w:pPr>
        <w:pStyle w:val="Heading1"/>
        <w:pBdr>
          <w:bottom w:val="single" w:sz="4" w:space="4" w:color="1D5C8C"/>
        </w:pBdr>
      </w:pPr>
      <w:r>
        <w:t>1. Executive Summary</w:t>
      </w:r>
    </w:p>
    <w:p w14:paraId="02C74E74" w14:textId="0A22245C" w:rsidR="00F03979" w:rsidRDefault="00000000">
      <w:pPr>
        <w:spacing w:before="60" w:after="100"/>
      </w:pPr>
      <w:r>
        <w:rPr>
          <w:color w:val="222222"/>
        </w:rPr>
        <w:t xml:space="preserve">Dotcommon is a worker-owned cooperative financial platform that replaces predatory short-term bridge lending with a mutual credit pool governed and owned by its members. Independent workers and small businesses routinely front significant capital </w:t>
      </w:r>
      <w:r w:rsidR="007E1688">
        <w:rPr>
          <w:color w:val="222222"/>
        </w:rPr>
        <w:t>(</w:t>
      </w:r>
      <w:r>
        <w:rPr>
          <w:color w:val="222222"/>
        </w:rPr>
        <w:t xml:space="preserve">for materials, </w:t>
      </w:r>
      <w:r w:rsidR="007E1688">
        <w:rPr>
          <w:color w:val="222222"/>
        </w:rPr>
        <w:t>labor</w:t>
      </w:r>
      <w:r>
        <w:rPr>
          <w:color w:val="222222"/>
        </w:rPr>
        <w:t>, equipment</w:t>
      </w:r>
      <w:r w:rsidR="007E1688">
        <w:rPr>
          <w:color w:val="222222"/>
        </w:rPr>
        <w:t>)</w:t>
      </w:r>
      <w:r>
        <w:rPr>
          <w:color w:val="222222"/>
        </w:rPr>
        <w:t xml:space="preserve"> and wait 30 to 90 days for payment. The only available bridge is high-interest credit: credit cards at 22–29%, invoice financing at 18–36%, or short-term business loans at rates that can exceed 40% </w:t>
      </w:r>
      <w:r w:rsidR="007E1688">
        <w:rPr>
          <w:color w:val="222222"/>
        </w:rPr>
        <w:t>annualized</w:t>
      </w:r>
      <w:r>
        <w:rPr>
          <w:color w:val="222222"/>
        </w:rPr>
        <w:t>. These instruments are designed to extract rent from cash flow volatility, not to resolve it.</w:t>
      </w:r>
    </w:p>
    <w:p w14:paraId="33195F7B" w14:textId="670B268E" w:rsidR="00F03979" w:rsidRDefault="00000000">
      <w:pPr>
        <w:spacing w:before="60" w:after="100"/>
      </w:pPr>
      <w:r>
        <w:rPr>
          <w:color w:val="222222"/>
        </w:rPr>
        <w:t>Dotcommon resolves this by building a cooperative credit pool where members lend to each other at rates calibrated to actual cost and risk</w:t>
      </w:r>
      <w:r w:rsidR="007E1688">
        <w:rPr>
          <w:color w:val="222222"/>
        </w:rPr>
        <w:t>,</w:t>
      </w:r>
      <w:r>
        <w:rPr>
          <w:color w:val="222222"/>
        </w:rPr>
        <w:t xml:space="preserve"> not to</w:t>
      </w:r>
      <w:r w:rsidR="007E1688">
        <w:rPr>
          <w:color w:val="222222"/>
        </w:rPr>
        <w:t xml:space="preserve"> maximize</w:t>
      </w:r>
      <w:r>
        <w:rPr>
          <w:color w:val="222222"/>
        </w:rPr>
        <w:t xml:space="preserve"> profit extraction. The platform combines on-chain payment rails, privacy-preserving income attestation, reputation-weighted governance, and a consumer-grade mobile interface that requires no cryptocurrency knowledge to use. Members put dollars in and </w:t>
      </w:r>
      <w:r w:rsidR="007E1688">
        <w:rPr>
          <w:color w:val="222222"/>
        </w:rPr>
        <w:t xml:space="preserve">they </w:t>
      </w:r>
      <w:r>
        <w:rPr>
          <w:color w:val="222222"/>
        </w:rPr>
        <w:t>get dollars out. The blockchain infrastructure</w:t>
      </w:r>
      <w:r w:rsidR="007E1688">
        <w:rPr>
          <w:color w:val="222222"/>
        </w:rPr>
        <w:t xml:space="preserve"> elements</w:t>
      </w:r>
      <w:r>
        <w:rPr>
          <w:color w:val="222222"/>
        </w:rPr>
        <w:t xml:space="preserve"> </w:t>
      </w:r>
      <w:r w:rsidR="007E1688">
        <w:rPr>
          <w:color w:val="222222"/>
        </w:rPr>
        <w:t>are</w:t>
      </w:r>
      <w:r>
        <w:rPr>
          <w:color w:val="222222"/>
        </w:rPr>
        <w:t xml:space="preserve"> entirely abstracted.</w:t>
      </w:r>
    </w:p>
    <w:p w14:paraId="6F70B305" w14:textId="77777777" w:rsidR="00F03979" w:rsidRDefault="00000000">
      <w:pPr>
        <w:spacing w:before="60" w:after="100"/>
      </w:pPr>
      <w:r>
        <w:rPr>
          <w:color w:val="222222"/>
        </w:rPr>
        <w:t>The long-term objective extends beyond credit: to build the financial and governance infrastructure that can eventually support cooperative ownership of the marketplaces through which members find work, progressively displacing platform intermediaries that currently extract 15–30% of worker revenue in exchange for matchmaking services that cost a fraction of that to provide.</w:t>
      </w:r>
    </w:p>
    <w:p w14:paraId="5190C6A5" w14:textId="77777777" w:rsidR="00F03979" w:rsidRDefault="00F039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03979" w14:paraId="1AAB49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20" w:type="dxa"/>
              <w:bottom w:w="100" w:type="dxa"/>
              <w:right w:w="120" w:type="dxa"/>
            </w:tcMar>
            <w:vAlign w:val="center"/>
          </w:tcPr>
          <w:p w14:paraId="3A217D49" w14:textId="77777777" w:rsidR="00F03979" w:rsidRDefault="00000000">
            <w:pPr>
              <w:jc w:val="center"/>
            </w:pPr>
            <w:r>
              <w:rPr>
                <w:b/>
                <w:bCs/>
                <w:color w:val="0F6E56"/>
                <w:sz w:val="20"/>
                <w:szCs w:val="20"/>
              </w:rPr>
              <w:t>KEY CLAIM</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31D02F17" w14:textId="77777777" w:rsidR="00F03979" w:rsidRDefault="00000000">
            <w:r>
              <w:rPr>
                <w:color w:val="333333"/>
                <w:sz w:val="20"/>
                <w:szCs w:val="20"/>
              </w:rPr>
              <w:t>Under conservative assumptions at 1,000 members, Dotcommon reduces the total annual cost of platform fees, payment processing, and credit access from approximately $18,000 to under $4,000 for a worker earning $80,000 per year — a saving of over $14,000 annually.</w:t>
            </w:r>
          </w:p>
        </w:tc>
      </w:tr>
    </w:tbl>
    <w:p w14:paraId="4FA84CC6" w14:textId="33BB1FAE" w:rsidR="00F03979" w:rsidRDefault="00000000" w:rsidP="00F50100">
      <w:r>
        <w:br w:type="page"/>
      </w:r>
      <w:r>
        <w:rPr>
          <w:b/>
          <w:bCs/>
          <w:color w:val="1D5C8C"/>
          <w:sz w:val="32"/>
          <w:szCs w:val="32"/>
        </w:rPr>
        <w:lastRenderedPageBreak/>
        <w:t>2. The Problem</w:t>
      </w:r>
    </w:p>
    <w:p w14:paraId="06962B83" w14:textId="667A3FD1" w:rsidR="00F03979" w:rsidRDefault="00000000">
      <w:pPr>
        <w:pStyle w:val="Heading2"/>
      </w:pPr>
      <w:r>
        <w:t xml:space="preserve">2.1 The </w:t>
      </w:r>
      <w:r w:rsidR="007E1688">
        <w:t>B</w:t>
      </w:r>
      <w:r>
        <w:t xml:space="preserve">ridge </w:t>
      </w:r>
      <w:r w:rsidR="007E1688">
        <w:t>L</w:t>
      </w:r>
      <w:r>
        <w:t xml:space="preserve">oan </w:t>
      </w:r>
      <w:r w:rsidR="007E1688">
        <w:t>T</w:t>
      </w:r>
      <w:r>
        <w:t>rap</w:t>
      </w:r>
    </w:p>
    <w:p w14:paraId="4A10036D" w14:textId="2A605872" w:rsidR="00F03979" w:rsidRDefault="00000000">
      <w:pPr>
        <w:spacing w:before="60" w:after="100"/>
      </w:pPr>
      <w:r>
        <w:rPr>
          <w:color w:val="222222"/>
        </w:rPr>
        <w:t>Independent workers and small businesses operate in a structural cash flow gap. Work is delivered before payment is received. Materials must be purchased before jobs begin. Equipment must be maintained regardless of invoice timing. This is not a failure of financial discipline</w:t>
      </w:r>
      <w:r w:rsidR="007E1688">
        <w:rPr>
          <w:color w:val="222222"/>
        </w:rPr>
        <w:t>, but</w:t>
      </w:r>
      <w:r>
        <w:rPr>
          <w:color w:val="222222"/>
        </w:rPr>
        <w:t xml:space="preserve"> an intrinsic feature of how project-based and contract work operates.</w:t>
      </w:r>
    </w:p>
    <w:p w14:paraId="63604755" w14:textId="219266AE" w:rsidR="00F03979" w:rsidRDefault="00000000">
      <w:pPr>
        <w:spacing w:before="60" w:after="100"/>
      </w:pPr>
      <w:r>
        <w:rPr>
          <w:color w:val="222222"/>
        </w:rPr>
        <w:t xml:space="preserve">The financial products </w:t>
      </w:r>
      <w:r w:rsidR="007E1688">
        <w:rPr>
          <w:color w:val="222222"/>
        </w:rPr>
        <w:t xml:space="preserve">currently </w:t>
      </w:r>
      <w:r>
        <w:rPr>
          <w:color w:val="222222"/>
        </w:rPr>
        <w:t>available to bridge this gap are designed around information asymmetry and short duration</w:t>
      </w:r>
      <w:r w:rsidR="007E1688">
        <w:rPr>
          <w:color w:val="222222"/>
        </w:rPr>
        <w:t>, and less around a</w:t>
      </w:r>
      <w:r>
        <w:rPr>
          <w:color w:val="222222"/>
        </w:rPr>
        <w:t xml:space="preserve"> worker’s actual creditworthiness. A bank extending a 30-day bridge loan has almost no information about a plumber’s income history, job pipeline, or peer reputation. It compensates for this ignorance with price: interest rates of 22–40% </w:t>
      </w:r>
      <w:r w:rsidR="007E1688">
        <w:rPr>
          <w:color w:val="222222"/>
        </w:rPr>
        <w:t>annualized</w:t>
      </w:r>
      <w:r>
        <w:rPr>
          <w:color w:val="222222"/>
        </w:rPr>
        <w:t xml:space="preserve"> on credit cards and short-term facilities are standard. For a worker with $80,000 in annual revenue </w:t>
      </w:r>
      <w:r w:rsidR="007E1688">
        <w:rPr>
          <w:color w:val="222222"/>
        </w:rPr>
        <w:t>utilizing</w:t>
      </w:r>
      <w:r>
        <w:rPr>
          <w:color w:val="222222"/>
        </w:rPr>
        <w:t xml:space="preserve"> 15% of that in short-term credit, </w:t>
      </w:r>
      <w:r w:rsidR="007E1688">
        <w:rPr>
          <w:color w:val="222222"/>
        </w:rPr>
        <w:t>they pay</w:t>
      </w:r>
      <w:r>
        <w:rPr>
          <w:color w:val="222222"/>
        </w:rPr>
        <w:t xml:space="preserve"> costs</w:t>
      </w:r>
      <w:r w:rsidR="007E1688">
        <w:rPr>
          <w:color w:val="222222"/>
        </w:rPr>
        <w:t xml:space="preserve"> of</w:t>
      </w:r>
      <w:r>
        <w:rPr>
          <w:color w:val="222222"/>
        </w:rPr>
        <w:t xml:space="preserve"> $2,600–4,800 per year for a service that</w:t>
      </w:r>
      <w:r w:rsidR="007E1688">
        <w:rPr>
          <w:color w:val="222222"/>
        </w:rPr>
        <w:t>, if non-extractive,</w:t>
      </w:r>
      <w:r>
        <w:rPr>
          <w:color w:val="222222"/>
        </w:rPr>
        <w:t xml:space="preserve"> </w:t>
      </w:r>
      <w:r w:rsidR="007E1688">
        <w:rPr>
          <w:color w:val="222222"/>
        </w:rPr>
        <w:t>w</w:t>
      </w:r>
      <w:r>
        <w:rPr>
          <w:color w:val="222222"/>
        </w:rPr>
        <w:t>ould cost a fraction of that.</w:t>
      </w:r>
    </w:p>
    <w:p w14:paraId="7F9D86CE" w14:textId="77777777" w:rsidR="00F03979" w:rsidRDefault="00F039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F03979" w14:paraId="53D1D86F"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1D5C8C"/>
            <w:tcMar>
              <w:top w:w="80" w:type="dxa"/>
              <w:left w:w="120" w:type="dxa"/>
              <w:bottom w:w="80" w:type="dxa"/>
              <w:right w:w="120" w:type="dxa"/>
            </w:tcMar>
          </w:tcPr>
          <w:p w14:paraId="59498180" w14:textId="77777777" w:rsidR="00F03979" w:rsidRDefault="00000000">
            <w:r>
              <w:rPr>
                <w:b/>
                <w:bCs/>
                <w:color w:val="FFFFFF"/>
                <w:sz w:val="20"/>
                <w:szCs w:val="20"/>
              </w:rPr>
              <w:t>Credit instrument</w:t>
            </w:r>
          </w:p>
        </w:tc>
        <w:tc>
          <w:tcPr>
            <w:tcW w:w="4160" w:type="dxa"/>
            <w:tcBorders>
              <w:top w:val="single" w:sz="1" w:space="0" w:color="CCCCCC"/>
              <w:left w:val="single" w:sz="1" w:space="0" w:color="CCCCCC"/>
              <w:bottom w:val="single" w:sz="1" w:space="0" w:color="CCCCCC"/>
              <w:right w:val="single" w:sz="1" w:space="0" w:color="CCCCCC"/>
            </w:tcBorders>
            <w:shd w:val="clear" w:color="auto" w:fill="1D5C8C"/>
            <w:tcMar>
              <w:top w:w="80" w:type="dxa"/>
              <w:left w:w="120" w:type="dxa"/>
              <w:bottom w:w="80" w:type="dxa"/>
              <w:right w:w="120" w:type="dxa"/>
            </w:tcMar>
          </w:tcPr>
          <w:p w14:paraId="73F9DE4B" w14:textId="77777777" w:rsidR="00F03979" w:rsidRDefault="00000000">
            <w:r>
              <w:rPr>
                <w:b/>
                <w:bCs/>
                <w:color w:val="FFFFFF"/>
                <w:sz w:val="20"/>
                <w:szCs w:val="20"/>
              </w:rPr>
              <w:t xml:space="preserve">Typical </w:t>
            </w:r>
            <w:proofErr w:type="spellStart"/>
            <w:r>
              <w:rPr>
                <w:b/>
                <w:bCs/>
                <w:color w:val="FFFFFF"/>
                <w:sz w:val="20"/>
                <w:szCs w:val="20"/>
              </w:rPr>
              <w:t>annualised</w:t>
            </w:r>
            <w:proofErr w:type="spellEnd"/>
            <w:r>
              <w:rPr>
                <w:b/>
                <w:bCs/>
                <w:color w:val="FFFFFF"/>
                <w:sz w:val="20"/>
                <w:szCs w:val="20"/>
              </w:rPr>
              <w:t xml:space="preserve"> cost</w:t>
            </w:r>
          </w:p>
        </w:tc>
      </w:tr>
      <w:tr w:rsidR="00F03979" w14:paraId="69EF770A"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468F776" w14:textId="77777777" w:rsidR="00F03979" w:rsidRDefault="00000000">
            <w:r>
              <w:rPr>
                <w:color w:val="333333"/>
                <w:sz w:val="20"/>
                <w:szCs w:val="20"/>
              </w:rPr>
              <w:t>Credit card (business)</w:t>
            </w:r>
          </w:p>
        </w:tc>
        <w:tc>
          <w:tcPr>
            <w:tcW w:w="4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9EA3B3D" w14:textId="77777777" w:rsidR="00F03979" w:rsidRDefault="00000000">
            <w:r>
              <w:rPr>
                <w:color w:val="333333"/>
                <w:sz w:val="20"/>
                <w:szCs w:val="20"/>
              </w:rPr>
              <w:t>22–29% APR</w:t>
            </w:r>
          </w:p>
        </w:tc>
      </w:tr>
      <w:tr w:rsidR="00F03979" w14:paraId="05F457C6"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69958" w14:textId="77777777" w:rsidR="00F03979" w:rsidRDefault="00000000">
            <w:r>
              <w:rPr>
                <w:color w:val="333333"/>
                <w:sz w:val="20"/>
                <w:szCs w:val="20"/>
              </w:rPr>
              <w:t>Invoice financing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58F39" w14:textId="77777777" w:rsidR="00F03979" w:rsidRDefault="00000000">
            <w:r>
              <w:rPr>
                <w:color w:val="333333"/>
                <w:sz w:val="20"/>
                <w:szCs w:val="20"/>
              </w:rPr>
              <w:t>18–36% APR</w:t>
            </w:r>
          </w:p>
        </w:tc>
      </w:tr>
      <w:tr w:rsidR="00F03979" w14:paraId="1AA141F2"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9D80726" w14:textId="77777777" w:rsidR="00F03979" w:rsidRDefault="00000000">
            <w:r>
              <w:rPr>
                <w:color w:val="333333"/>
                <w:sz w:val="20"/>
                <w:szCs w:val="20"/>
              </w:rPr>
              <w:t>Merchant cash advance</w:t>
            </w:r>
          </w:p>
        </w:tc>
        <w:tc>
          <w:tcPr>
            <w:tcW w:w="4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F96E378" w14:textId="77777777" w:rsidR="00F03979" w:rsidRDefault="00000000">
            <w:r>
              <w:rPr>
                <w:color w:val="333333"/>
                <w:sz w:val="20"/>
                <w:szCs w:val="20"/>
              </w:rPr>
              <w:t>40–150% effective APR</w:t>
            </w:r>
          </w:p>
        </w:tc>
      </w:tr>
      <w:tr w:rsidR="00F03979" w14:paraId="44CB9561"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BA21A" w14:textId="77777777" w:rsidR="00F03979" w:rsidRDefault="00000000">
            <w:r>
              <w:rPr>
                <w:color w:val="333333"/>
                <w:sz w:val="20"/>
                <w:szCs w:val="20"/>
              </w:rPr>
              <w:t>Short-term business loan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69A56" w14:textId="77777777" w:rsidR="00F03979" w:rsidRDefault="00000000">
            <w:r>
              <w:rPr>
                <w:color w:val="333333"/>
                <w:sz w:val="20"/>
                <w:szCs w:val="20"/>
              </w:rPr>
              <w:t>20–40% APR</w:t>
            </w:r>
          </w:p>
        </w:tc>
      </w:tr>
      <w:tr w:rsidR="00F03979" w14:paraId="2DFF9976"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12E96A9" w14:textId="77777777" w:rsidR="00F03979" w:rsidRDefault="00000000">
            <w:r>
              <w:rPr>
                <w:color w:val="333333"/>
                <w:sz w:val="20"/>
                <w:szCs w:val="20"/>
              </w:rPr>
              <w:t>Dotcommon target rate</w:t>
            </w:r>
          </w:p>
        </w:tc>
        <w:tc>
          <w:tcPr>
            <w:tcW w:w="41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356A4DE" w14:textId="77777777" w:rsidR="00F03979" w:rsidRDefault="00000000">
            <w:r>
              <w:rPr>
                <w:color w:val="333333"/>
                <w:sz w:val="20"/>
                <w:szCs w:val="20"/>
              </w:rPr>
              <w:t>3–7% effective APR</w:t>
            </w:r>
          </w:p>
        </w:tc>
      </w:tr>
    </w:tbl>
    <w:p w14:paraId="41AF2247" w14:textId="77777777" w:rsidR="00F03979" w:rsidRDefault="00F03979"/>
    <w:p w14:paraId="76C2D289" w14:textId="51D9FE5E" w:rsidR="00F03979" w:rsidRDefault="00000000">
      <w:pPr>
        <w:pStyle w:val="Heading2"/>
      </w:pPr>
      <w:r>
        <w:t xml:space="preserve">2.2 The </w:t>
      </w:r>
      <w:r w:rsidR="007E1688">
        <w:t>P</w:t>
      </w:r>
      <w:r>
        <w:t xml:space="preserve">latform </w:t>
      </w:r>
      <w:r w:rsidR="007E1688">
        <w:t>F</w:t>
      </w:r>
      <w:r>
        <w:t xml:space="preserve">ee </w:t>
      </w:r>
      <w:r w:rsidR="007E1688">
        <w:t>P</w:t>
      </w:r>
      <w:r>
        <w:t>roblem</w:t>
      </w:r>
    </w:p>
    <w:p w14:paraId="2B13BC52" w14:textId="39F407C1" w:rsidR="00F03979" w:rsidRDefault="00000000">
      <w:pPr>
        <w:spacing w:before="60" w:after="100"/>
      </w:pPr>
      <w:r>
        <w:rPr>
          <w:color w:val="222222"/>
        </w:rPr>
        <w:t xml:space="preserve">Workers who find clients through digital marketplaces face a second layer of extraction. Platforms like Upwork, Angi, Thumbtack, and Faire charge 15–30% of transaction value as a platform fee. For a worker generating $80,000 in revenue through these platforms, this represents $12,000–24,000 in annual fees paid to intermediaries whose actual value-add </w:t>
      </w:r>
      <w:r w:rsidR="007E1688">
        <w:rPr>
          <w:color w:val="222222"/>
        </w:rPr>
        <w:t>(</w:t>
      </w:r>
      <w:r>
        <w:rPr>
          <w:color w:val="222222"/>
        </w:rPr>
        <w:t xml:space="preserve">search indexing, reputation aggregation, </w:t>
      </w:r>
      <w:r w:rsidR="007E1688">
        <w:rPr>
          <w:color w:val="222222"/>
        </w:rPr>
        <w:t xml:space="preserve">and </w:t>
      </w:r>
      <w:r>
        <w:rPr>
          <w:color w:val="222222"/>
        </w:rPr>
        <w:t>payment processing</w:t>
      </w:r>
      <w:r w:rsidR="007E1688">
        <w:rPr>
          <w:color w:val="222222"/>
        </w:rPr>
        <w:t>)</w:t>
      </w:r>
      <w:r>
        <w:rPr>
          <w:color w:val="222222"/>
        </w:rPr>
        <w:t xml:space="preserve"> costs a small fraction of what is charged. The remainder is </w:t>
      </w:r>
      <w:proofErr w:type="gramStart"/>
      <w:r>
        <w:rPr>
          <w:color w:val="222222"/>
        </w:rPr>
        <w:t>profit</w:t>
      </w:r>
      <w:proofErr w:type="gramEnd"/>
      <w:r>
        <w:rPr>
          <w:color w:val="222222"/>
        </w:rPr>
        <w:t xml:space="preserve"> extraction enabled by network effect lock-in</w:t>
      </w:r>
      <w:r w:rsidR="007E1688">
        <w:rPr>
          <w:color w:val="222222"/>
        </w:rPr>
        <w:t xml:space="preserve"> and capital power dynamics</w:t>
      </w:r>
      <w:r>
        <w:rPr>
          <w:color w:val="222222"/>
        </w:rPr>
        <w:t>.</w:t>
      </w:r>
    </w:p>
    <w:p w14:paraId="2F2C54A8" w14:textId="7A816828" w:rsidR="00F03979" w:rsidRDefault="00000000">
      <w:pPr>
        <w:spacing w:before="60" w:after="100"/>
      </w:pPr>
      <w:r>
        <w:rPr>
          <w:color w:val="222222"/>
        </w:rPr>
        <w:t xml:space="preserve">The worker cannot easily leave these platforms because </w:t>
      </w:r>
      <w:r w:rsidR="007E1688">
        <w:rPr>
          <w:color w:val="222222"/>
        </w:rPr>
        <w:t xml:space="preserve">the platform, not the worker, owns </w:t>
      </w:r>
      <w:r>
        <w:rPr>
          <w:color w:val="222222"/>
        </w:rPr>
        <w:t>their reputation, client relationships, and visibility. This creates a structural dependency that enables ongoing rent extraction regardless of whether the worker finds the platform’s terms fair</w:t>
      </w:r>
      <w:r w:rsidR="007E1688">
        <w:rPr>
          <w:color w:val="222222"/>
        </w:rPr>
        <w:t xml:space="preserve"> or even competitive</w:t>
      </w:r>
      <w:r>
        <w:rPr>
          <w:color w:val="222222"/>
        </w:rPr>
        <w:t>.</w:t>
      </w:r>
    </w:p>
    <w:p w14:paraId="52B873B7" w14:textId="7CF1DE8D" w:rsidR="00F03979" w:rsidRDefault="00000000">
      <w:pPr>
        <w:pStyle w:val="Heading2"/>
      </w:pPr>
      <w:r>
        <w:t xml:space="preserve">2.3 Why </w:t>
      </w:r>
      <w:r w:rsidR="007E1688">
        <w:t>E</w:t>
      </w:r>
      <w:r>
        <w:t xml:space="preserve">xisting </w:t>
      </w:r>
      <w:r w:rsidR="007E1688">
        <w:t>A</w:t>
      </w:r>
      <w:r>
        <w:t xml:space="preserve">lternatives </w:t>
      </w:r>
      <w:r w:rsidR="007E1688">
        <w:t>A</w:t>
      </w:r>
      <w:r>
        <w:t xml:space="preserve">re </w:t>
      </w:r>
      <w:r w:rsidR="007E1688">
        <w:t>I</w:t>
      </w:r>
      <w:r>
        <w:t>nsufficient</w:t>
      </w:r>
    </w:p>
    <w:p w14:paraId="093C26A6" w14:textId="77777777" w:rsidR="00F03979" w:rsidRDefault="00000000">
      <w:pPr>
        <w:spacing w:before="60" w:after="100"/>
      </w:pPr>
      <w:r>
        <w:rPr>
          <w:color w:val="222222"/>
        </w:rPr>
        <w:t>Credit unions address the credit problem but not the platform problem, and they are slow to adopt underwriting models that leverage non-traditional income data. Fintech lenders offer better UX but replicate or worsen the rate structures. Worker-owned platform cooperatives (</w:t>
      </w:r>
      <w:proofErr w:type="spellStart"/>
      <w:r>
        <w:rPr>
          <w:color w:val="222222"/>
        </w:rPr>
        <w:t>Stocksy</w:t>
      </w:r>
      <w:proofErr w:type="spellEnd"/>
      <w:r>
        <w:rPr>
          <w:color w:val="222222"/>
        </w:rPr>
        <w:t xml:space="preserve">, </w:t>
      </w:r>
      <w:proofErr w:type="spellStart"/>
      <w:r>
        <w:rPr>
          <w:color w:val="222222"/>
        </w:rPr>
        <w:t>Up&amp;Go</w:t>
      </w:r>
      <w:proofErr w:type="spellEnd"/>
      <w:r>
        <w:rPr>
          <w:color w:val="222222"/>
        </w:rPr>
        <w:t xml:space="preserve">, </w:t>
      </w:r>
      <w:proofErr w:type="spellStart"/>
      <w:r>
        <w:rPr>
          <w:color w:val="222222"/>
        </w:rPr>
        <w:t>SMart</w:t>
      </w:r>
      <w:proofErr w:type="spellEnd"/>
      <w:r>
        <w:rPr>
          <w:color w:val="222222"/>
        </w:rPr>
        <w:t>) have demonstrated viability but operate within conventional financial infrastructure and have not achieved the network scale needed to threaten incumbent platforms. No existing solution combines cooperative credit, cooperative governance, and a viable path toward cooperative marketplace ownership in a single integrated platform.</w:t>
      </w:r>
    </w:p>
    <w:p w14:paraId="0EF65B4E" w14:textId="77777777" w:rsidR="00F03979" w:rsidRDefault="00000000">
      <w:pPr>
        <w:pStyle w:val="Heading1"/>
        <w:pBdr>
          <w:bottom w:val="single" w:sz="4" w:space="4" w:color="1D5C8C"/>
        </w:pBdr>
      </w:pPr>
      <w:r>
        <w:t>3. The Solution</w:t>
      </w:r>
    </w:p>
    <w:p w14:paraId="1C1972BD" w14:textId="14E3A383" w:rsidR="00F03979" w:rsidRDefault="00000000">
      <w:pPr>
        <w:pStyle w:val="Heading2"/>
      </w:pPr>
      <w:r>
        <w:t xml:space="preserve">3.1 Architecture </w:t>
      </w:r>
      <w:r w:rsidR="007E1688">
        <w:t>O</w:t>
      </w:r>
      <w:r>
        <w:t>verview</w:t>
      </w:r>
    </w:p>
    <w:p w14:paraId="1753875E" w14:textId="77777777" w:rsidR="00F03979" w:rsidRDefault="00000000">
      <w:pPr>
        <w:spacing w:before="60" w:after="100"/>
      </w:pPr>
      <w:r>
        <w:rPr>
          <w:color w:val="222222"/>
        </w:rPr>
        <w:t xml:space="preserve">Dotcommon is a two-layer system. The financial layer is a mutual credit pool governed by its members, accessible via consumer-grade mobile and web interfaces that abstract all blockchain complexity. The </w:t>
      </w:r>
      <w:r>
        <w:rPr>
          <w:color w:val="222222"/>
        </w:rPr>
        <w:lastRenderedPageBreak/>
        <w:t>governance layer uses reputation-weighted voting to ensure that decision-making power accrues to active contributors rather than to capital holders.</w:t>
      </w:r>
    </w:p>
    <w:p w14:paraId="7A7CD84B" w14:textId="77777777" w:rsidR="00F03979" w:rsidRDefault="00F039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3979" w14:paraId="22389C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D5C8C"/>
            <w:tcMar>
              <w:top w:w="80" w:type="dxa"/>
              <w:left w:w="120" w:type="dxa"/>
              <w:bottom w:w="80" w:type="dxa"/>
              <w:right w:w="120" w:type="dxa"/>
            </w:tcMar>
          </w:tcPr>
          <w:p w14:paraId="2282A976" w14:textId="77777777" w:rsidR="00F03979" w:rsidRDefault="00000000">
            <w:r>
              <w:rPr>
                <w:b/>
                <w:bCs/>
                <w:color w:val="FFFFFF"/>
                <w:sz w:val="20"/>
                <w:szCs w:val="20"/>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1D5C8C"/>
            <w:tcMar>
              <w:top w:w="80" w:type="dxa"/>
              <w:left w:w="120" w:type="dxa"/>
              <w:bottom w:w="80" w:type="dxa"/>
              <w:right w:w="120" w:type="dxa"/>
            </w:tcMar>
          </w:tcPr>
          <w:p w14:paraId="09ABE338" w14:textId="77777777" w:rsidR="00F03979" w:rsidRDefault="00000000">
            <w:r>
              <w:rPr>
                <w:b/>
                <w:bCs/>
                <w:color w:val="FFFFFF"/>
                <w:sz w:val="20"/>
                <w:szCs w:val="20"/>
              </w:rPr>
              <w:t>Component &amp; rationale</w:t>
            </w:r>
          </w:p>
        </w:tc>
      </w:tr>
      <w:tr w:rsidR="00F03979" w14:paraId="1B7F6A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0D9E84B" w14:textId="77777777" w:rsidR="00F03979" w:rsidRDefault="00000000">
            <w:r>
              <w:rPr>
                <w:color w:val="333333"/>
                <w:sz w:val="20"/>
                <w:szCs w:val="20"/>
              </w:rPr>
              <w:t>Payment rail</w:t>
            </w:r>
          </w:p>
        </w:tc>
        <w:tc>
          <w:tcPr>
            <w:tcW w:w="6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2B16BBF" w14:textId="533F3D77" w:rsidR="00F03979" w:rsidRDefault="00000000">
            <w:r>
              <w:rPr>
                <w:color w:val="333333"/>
                <w:sz w:val="20"/>
                <w:szCs w:val="20"/>
              </w:rPr>
              <w:t xml:space="preserve">DAI on Optimism — </w:t>
            </w:r>
            <w:r w:rsidR="007E1688">
              <w:rPr>
                <w:color w:val="333333"/>
                <w:sz w:val="20"/>
                <w:szCs w:val="20"/>
              </w:rPr>
              <w:t>decentralized</w:t>
            </w:r>
            <w:r>
              <w:rPr>
                <w:color w:val="333333"/>
                <w:sz w:val="20"/>
                <w:szCs w:val="20"/>
              </w:rPr>
              <w:t xml:space="preserve"> stablecoin, no corporate issuer</w:t>
            </w:r>
          </w:p>
        </w:tc>
      </w:tr>
      <w:tr w:rsidR="00F03979" w14:paraId="6C9960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15AC0" w14:textId="77777777" w:rsidR="00F03979" w:rsidRDefault="00000000">
            <w:r>
              <w:rPr>
                <w:color w:val="333333"/>
                <w:sz w:val="20"/>
                <w:szCs w:val="20"/>
              </w:rPr>
              <w:t>Identity &amp; attestation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3192B" w14:textId="77777777" w:rsidR="00F03979" w:rsidRDefault="00000000">
            <w:r>
              <w:rPr>
                <w:color w:val="333333"/>
                <w:sz w:val="20"/>
                <w:szCs w:val="20"/>
              </w:rPr>
              <w:t>TLSNotary — zero-knowledge income proofs, no commercial dependency</w:t>
            </w:r>
          </w:p>
        </w:tc>
      </w:tr>
      <w:tr w:rsidR="00F03979" w14:paraId="24080B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327B6C4" w14:textId="77777777" w:rsidR="00F03979" w:rsidRDefault="00000000">
            <w:r>
              <w:rPr>
                <w:color w:val="333333"/>
                <w:sz w:val="20"/>
                <w:szCs w:val="20"/>
              </w:rPr>
              <w:t>Governance</w:t>
            </w:r>
          </w:p>
        </w:tc>
        <w:tc>
          <w:tcPr>
            <w:tcW w:w="6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59B5B3D" w14:textId="77777777" w:rsidR="00F03979" w:rsidRDefault="00000000">
            <w:r>
              <w:rPr>
                <w:color w:val="333333"/>
                <w:sz w:val="20"/>
                <w:szCs w:val="20"/>
              </w:rPr>
              <w:t>Colony — reputation-weighted, contribution-driven voting power</w:t>
            </w:r>
          </w:p>
        </w:tc>
      </w:tr>
      <w:tr w:rsidR="00F03979" w14:paraId="463AE8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B2D63" w14:textId="77777777" w:rsidR="00F03979" w:rsidRDefault="00000000">
            <w:r>
              <w:rPr>
                <w:color w:val="333333"/>
                <w:sz w:val="20"/>
                <w:szCs w:val="20"/>
              </w:rPr>
              <w:t>Credit pool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9122C" w14:textId="77777777" w:rsidR="00F03979" w:rsidRDefault="00000000">
            <w:r>
              <w:rPr>
                <w:color w:val="333333"/>
                <w:sz w:val="20"/>
                <w:szCs w:val="20"/>
              </w:rPr>
              <w:t>Custom audited smart contract — fully member-governed parameters</w:t>
            </w:r>
          </w:p>
        </w:tc>
      </w:tr>
      <w:tr w:rsidR="00F03979" w14:paraId="63788A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CF040F3" w14:textId="77777777" w:rsidR="00F03979" w:rsidRDefault="00000000">
            <w:r>
              <w:rPr>
                <w:color w:val="333333"/>
                <w:sz w:val="20"/>
                <w:szCs w:val="20"/>
              </w:rPr>
              <w:t>Wallet &amp; fiat interface</w:t>
            </w:r>
          </w:p>
        </w:tc>
        <w:tc>
          <w:tcPr>
            <w:tcW w:w="65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7F880F9" w14:textId="77777777" w:rsidR="00F03979" w:rsidRDefault="00000000">
            <w:r>
              <w:rPr>
                <w:color w:val="333333"/>
                <w:sz w:val="20"/>
                <w:szCs w:val="20"/>
              </w:rPr>
              <w:t>Privy embedded wallets + Stripe ramp — dollar-in, dollar-out UX</w:t>
            </w:r>
          </w:p>
        </w:tc>
      </w:tr>
    </w:tbl>
    <w:p w14:paraId="22530F06" w14:textId="77777777" w:rsidR="00F03979" w:rsidRDefault="00F03979"/>
    <w:p w14:paraId="677417AB" w14:textId="33DBFE55" w:rsidR="00F03979" w:rsidRDefault="00000000">
      <w:pPr>
        <w:pStyle w:val="Heading2"/>
      </w:pPr>
      <w:r>
        <w:t xml:space="preserve">3.2 The </w:t>
      </w:r>
      <w:r w:rsidR="007E1688">
        <w:t>C</w:t>
      </w:r>
      <w:r>
        <w:t xml:space="preserve">redit </w:t>
      </w:r>
      <w:r w:rsidR="007E1688">
        <w:t>P</w:t>
      </w:r>
      <w:r>
        <w:t>ool</w:t>
      </w:r>
    </w:p>
    <w:p w14:paraId="6BBCE7B1" w14:textId="77777777" w:rsidR="00F03979" w:rsidRDefault="00000000">
      <w:pPr>
        <w:spacing w:before="60" w:after="100"/>
      </w:pPr>
      <w:r>
        <w:rPr>
          <w:color w:val="222222"/>
        </w:rPr>
        <w:t>The mutual credit pool accepts member deposits and extends credit to members against their verified income history and cooperative track record. Interest rates are structured in three components: a base rate covering pool operating costs (target: 1.5%), a risk premium that begins at approximately 5% for new networks and compresses toward 1–2% as the member dataset matures and underwriting improves, and a governance-set pool health adjustment that activates if default rates exceed predetermined thresholds.</w:t>
      </w:r>
    </w:p>
    <w:p w14:paraId="491152B5" w14:textId="2984A1D0" w:rsidR="00F03979" w:rsidRDefault="00000000">
      <w:pPr>
        <w:spacing w:before="60" w:after="100"/>
      </w:pPr>
      <w:r>
        <w:rPr>
          <w:color w:val="222222"/>
        </w:rPr>
        <w:t xml:space="preserve">At 1,000 members, modelled effective rates of 3–7% represent savings of $900–2,800 per year versus conventional credit instruments for a worker at median </w:t>
      </w:r>
      <w:r w:rsidR="007E1688">
        <w:rPr>
          <w:color w:val="222222"/>
        </w:rPr>
        <w:t>utilization</w:t>
      </w:r>
      <w:r>
        <w:rPr>
          <w:color w:val="222222"/>
        </w:rPr>
        <w:t xml:space="preserve">. At 5,000 members, improving data quality and </w:t>
      </w:r>
      <w:r w:rsidR="007E1688">
        <w:rPr>
          <w:color w:val="222222"/>
        </w:rPr>
        <w:t>amortization</w:t>
      </w:r>
      <w:r>
        <w:rPr>
          <w:color w:val="222222"/>
        </w:rPr>
        <w:t xml:space="preserve"> of fixed infrastructure costs push the effective rate and overhead lower still.</w:t>
      </w:r>
    </w:p>
    <w:p w14:paraId="389EC8B0" w14:textId="00C93D29" w:rsidR="00F03979" w:rsidRDefault="00000000">
      <w:pPr>
        <w:pStyle w:val="Heading2"/>
      </w:pPr>
      <w:r>
        <w:t xml:space="preserve">3.3 Income </w:t>
      </w:r>
      <w:r w:rsidR="007E1688">
        <w:t>A</w:t>
      </w:r>
      <w:r>
        <w:t xml:space="preserve">ttestation </w:t>
      </w:r>
      <w:r w:rsidR="007E1688">
        <w:t>W</w:t>
      </w:r>
      <w:r>
        <w:t xml:space="preserve">ithout </w:t>
      </w:r>
      <w:r w:rsidR="007E1688">
        <w:t>P</w:t>
      </w:r>
      <w:r>
        <w:t xml:space="preserve">rivacy </w:t>
      </w:r>
      <w:r w:rsidR="007E1688">
        <w:t>L</w:t>
      </w:r>
      <w:r>
        <w:t>oss</w:t>
      </w:r>
    </w:p>
    <w:p w14:paraId="3E85E719" w14:textId="77777777" w:rsidR="00F03979" w:rsidRDefault="00000000">
      <w:pPr>
        <w:spacing w:before="60" w:after="100"/>
      </w:pPr>
      <w:r>
        <w:rPr>
          <w:color w:val="222222"/>
        </w:rPr>
        <w:t xml:space="preserve">Credit underwriting requires income verification. Dotcommon achieves this through zero-knowledge proofs generated using TLSNotary, an open-source protocol developed by the Ethereum Foundation. A member connects their bank account or tax platform, generates </w:t>
      </w:r>
      <w:proofErr w:type="gramStart"/>
      <w:r>
        <w:rPr>
          <w:color w:val="222222"/>
        </w:rPr>
        <w:t>a proof</w:t>
      </w:r>
      <w:proofErr w:type="gramEnd"/>
      <w:r>
        <w:rPr>
          <w:color w:val="222222"/>
        </w:rPr>
        <w:t xml:space="preserve"> that their income exceeds a stated threshold, and submits the proof </w:t>
      </w:r>
      <w:proofErr w:type="gramStart"/>
      <w:r>
        <w:rPr>
          <w:color w:val="222222"/>
        </w:rPr>
        <w:t>on-chain</w:t>
      </w:r>
      <w:proofErr w:type="gramEnd"/>
      <w:r>
        <w:rPr>
          <w:color w:val="222222"/>
        </w:rPr>
        <w:t>. The proof is cryptographically verifiable without revealing the underlying data. No bank account details, no income figures, and no personal financial records are stored by or transmitted to the cooperative.</w:t>
      </w:r>
    </w:p>
    <w:p w14:paraId="316EB764" w14:textId="729B6484" w:rsidR="007E1688" w:rsidRPr="00F50100" w:rsidRDefault="00000000">
      <w:pPr>
        <w:spacing w:before="60" w:after="100"/>
        <w:rPr>
          <w:color w:val="222222"/>
        </w:rPr>
      </w:pPr>
      <w:r>
        <w:rPr>
          <w:color w:val="222222"/>
        </w:rPr>
        <w:t>This approach is meaningfully superior to bank-based underwriting: the cooperative can verify income with the same confidence as a bank while extending credit at rates that reflect actual risk rather than compensating for information asymmetry.</w:t>
      </w:r>
    </w:p>
    <w:p w14:paraId="30A31B5C" w14:textId="516C0ADB" w:rsidR="00F03979" w:rsidRDefault="00000000">
      <w:pPr>
        <w:pStyle w:val="Heading2"/>
      </w:pPr>
      <w:r>
        <w:t xml:space="preserve">3.4 Governance </w:t>
      </w:r>
      <w:r w:rsidR="007E1688">
        <w:t>T</w:t>
      </w:r>
      <w:r>
        <w:t xml:space="preserve">hat </w:t>
      </w:r>
      <w:r w:rsidR="007E1688">
        <w:t>R</w:t>
      </w:r>
      <w:r>
        <w:t xml:space="preserve">esists </w:t>
      </w:r>
      <w:r w:rsidR="007E1688">
        <w:t>P</w:t>
      </w:r>
      <w:r>
        <w:t xml:space="preserve">lutocratic </w:t>
      </w:r>
      <w:r w:rsidR="007E1688">
        <w:t>C</w:t>
      </w:r>
      <w:r>
        <w:t>apture</w:t>
      </w:r>
    </w:p>
    <w:p w14:paraId="7C5D5AE1" w14:textId="1ABDA0B7" w:rsidR="00F03979" w:rsidRDefault="00000000">
      <w:pPr>
        <w:spacing w:before="60" w:after="100"/>
      </w:pPr>
      <w:r>
        <w:rPr>
          <w:color w:val="222222"/>
        </w:rPr>
        <w:t>Most on-chain governance systems use token-weighted voting, which directly translates capital into governance power</w:t>
      </w:r>
      <w:r w:rsidR="007E1688">
        <w:rPr>
          <w:color w:val="222222"/>
        </w:rPr>
        <w:t>, but this is</w:t>
      </w:r>
      <w:r>
        <w:rPr>
          <w:color w:val="222222"/>
        </w:rPr>
        <w:t xml:space="preserve"> the same dynamic the cooperative is designed to escape. Dotcommon uses Colony’s </w:t>
      </w:r>
      <w:r w:rsidRPr="007E1688">
        <w:rPr>
          <w:b/>
          <w:bCs/>
          <w:color w:val="222222"/>
        </w:rPr>
        <w:t>reputation</w:t>
      </w:r>
      <w:r>
        <w:rPr>
          <w:color w:val="222222"/>
        </w:rPr>
        <w:t>-weighted governance system, in which voting power accrues to members based on contribution history: jobs completed, credit repaid, governance participation, peer endorsements. A wealthy new member cannot buy governance influence. A long-standing active member who has contributed to the network’s health has proportionally greater say over its direction.</w:t>
      </w:r>
    </w:p>
    <w:p w14:paraId="24746E5D" w14:textId="77777777" w:rsidR="00F03979" w:rsidRDefault="00000000">
      <w:pPr>
        <w:spacing w:before="60" w:after="100"/>
      </w:pPr>
      <w:r>
        <w:rPr>
          <w:color w:val="222222"/>
        </w:rPr>
        <w:t>All treasury allocations, credit pool parameter changes, fee adjustments, and platform policy decisions require reputation-weighted approval. The cooperative cannot be captured by a large investor acquiring tokens because there are no governance tokens to acquire.</w:t>
      </w:r>
    </w:p>
    <w:p w14:paraId="21BAACBF" w14:textId="4E5D2F5E" w:rsidR="00F03979" w:rsidRDefault="00000000">
      <w:pPr>
        <w:pStyle w:val="Heading2"/>
      </w:pPr>
      <w:r>
        <w:t>3.5 Consumer-</w:t>
      </w:r>
      <w:r w:rsidR="007E1688">
        <w:t>G</w:t>
      </w:r>
      <w:r>
        <w:t xml:space="preserve">rade </w:t>
      </w:r>
      <w:r w:rsidR="007E1688">
        <w:t>A</w:t>
      </w:r>
      <w:r>
        <w:t>ccessibility</w:t>
      </w:r>
    </w:p>
    <w:p w14:paraId="1181CF64" w14:textId="77777777" w:rsidR="00F03979" w:rsidRDefault="00000000">
      <w:pPr>
        <w:spacing w:before="60" w:after="100"/>
      </w:pPr>
      <w:r>
        <w:rPr>
          <w:color w:val="222222"/>
        </w:rPr>
        <w:t xml:space="preserve">Dotcommon is usable by anyone with a smartphone and a bank account. Members sign up with their email address. A smart contract wallet is created silently using Privy’s embedded wallet infrastructure. Fiat deposits are processed through Stripe’s crypto ramp, converting dollars to DAI without the member ever interacting with </w:t>
      </w:r>
      <w:r>
        <w:rPr>
          <w:color w:val="222222"/>
        </w:rPr>
        <w:lastRenderedPageBreak/>
        <w:t>a cryptocurrency exchange. Gas fees for all on-chain transactions are sponsored by the cooperative’s paymaster contract. Withdrawals arrive as standard bank transfers within one to two business days.</w:t>
      </w:r>
    </w:p>
    <w:p w14:paraId="1E125797" w14:textId="77777777" w:rsidR="00F50100" w:rsidRDefault="00000000" w:rsidP="00F50100">
      <w:pPr>
        <w:spacing w:before="60" w:after="100"/>
        <w:rPr>
          <w:color w:val="222222"/>
        </w:rPr>
      </w:pPr>
      <w:r>
        <w:rPr>
          <w:color w:val="222222"/>
        </w:rPr>
        <w:t>From the member’s perspective, Dotcommon is a cooperative credit app. The on-chain architecture is infrastructure, not interface.</w:t>
      </w:r>
    </w:p>
    <w:p w14:paraId="46B78E27" w14:textId="77777777" w:rsidR="00F50100" w:rsidRDefault="00F50100" w:rsidP="00F50100">
      <w:pPr>
        <w:spacing w:before="60" w:after="100"/>
        <w:rPr>
          <w:color w:val="222222"/>
        </w:rPr>
      </w:pPr>
    </w:p>
    <w:p w14:paraId="0A901F57" w14:textId="40B6FA92" w:rsidR="00F03979" w:rsidRDefault="00000000" w:rsidP="00F50100">
      <w:pPr>
        <w:spacing w:before="60" w:after="100"/>
      </w:pPr>
      <w:r>
        <w:rPr>
          <w:b/>
          <w:bCs/>
          <w:color w:val="1D5C8C"/>
          <w:sz w:val="32"/>
          <w:szCs w:val="32"/>
        </w:rPr>
        <w:t>4. Market Opportunity &amp; Bootstrap Strategy</w:t>
      </w:r>
    </w:p>
    <w:p w14:paraId="560EFFB5" w14:textId="55FF44D7" w:rsidR="00F03979" w:rsidRDefault="00000000">
      <w:pPr>
        <w:pStyle w:val="Heading2"/>
      </w:pPr>
      <w:r>
        <w:t xml:space="preserve">4.1 Target </w:t>
      </w:r>
      <w:r w:rsidR="007E1688">
        <w:t>M</w:t>
      </w:r>
      <w:r>
        <w:t>arket</w:t>
      </w:r>
    </w:p>
    <w:p w14:paraId="187497F3" w14:textId="5F6DAD41" w:rsidR="00F03979" w:rsidRDefault="00000000">
      <w:pPr>
        <w:spacing w:before="60" w:after="100"/>
      </w:pPr>
      <w:r>
        <w:rPr>
          <w:color w:val="222222"/>
        </w:rPr>
        <w:t xml:space="preserve">The primary target is the 16 million independent workers and small contractors in the United States who regularly use short-term credit to manage project cash flow. Within this group, the highest-value initial segment is skilled tradespeople </w:t>
      </w:r>
      <w:r w:rsidR="00F50100">
        <w:rPr>
          <w:color w:val="222222"/>
        </w:rPr>
        <w:t xml:space="preserve">(e.g. </w:t>
      </w:r>
      <w:r>
        <w:rPr>
          <w:color w:val="222222"/>
        </w:rPr>
        <w:t>electricians, plumbers, HVAC technicians, general contractors</w:t>
      </w:r>
      <w:r w:rsidR="00F50100">
        <w:rPr>
          <w:color w:val="222222"/>
        </w:rPr>
        <w:t>)</w:t>
      </w:r>
      <w:r>
        <w:rPr>
          <w:color w:val="222222"/>
        </w:rPr>
        <w:t xml:space="preserve"> who have high average job values, predictable income cycles, significant materials costs, and existing professional communities that lower the cost of trust-based </w:t>
      </w:r>
      <w:proofErr w:type="gramStart"/>
      <w:r>
        <w:rPr>
          <w:color w:val="222222"/>
        </w:rPr>
        <w:t>bootstrap</w:t>
      </w:r>
      <w:proofErr w:type="gramEnd"/>
      <w:r>
        <w:rPr>
          <w:color w:val="222222"/>
        </w:rPr>
        <w:t>.</w:t>
      </w:r>
    </w:p>
    <w:p w14:paraId="4BF60CE9" w14:textId="77777777" w:rsidR="00F03979" w:rsidRDefault="00000000">
      <w:pPr>
        <w:spacing w:before="60" w:after="100"/>
      </w:pPr>
      <w:r>
        <w:rPr>
          <w:color w:val="222222"/>
        </w:rPr>
        <w:t>Secondary segments include freelance knowledge workers (designers, developers, writers) who are already comfortable with digital financial tools, and small-scale producers (farmers, food manufacturers, artisans) who face similar invoice timing problems with added working capital complexity.</w:t>
      </w:r>
    </w:p>
    <w:p w14:paraId="395A12FF" w14:textId="6587FA9D" w:rsidR="00F03979" w:rsidRDefault="00000000">
      <w:pPr>
        <w:pStyle w:val="Heading2"/>
      </w:pPr>
      <w:r>
        <w:t xml:space="preserve">4.2 Bootstrap </w:t>
      </w:r>
      <w:r w:rsidR="007E1688">
        <w:t>S</w:t>
      </w:r>
      <w:r>
        <w:t>equencing</w:t>
      </w:r>
    </w:p>
    <w:p w14:paraId="4F979DFF" w14:textId="77777777" w:rsidR="00F03979" w:rsidRDefault="00000000">
      <w:pPr>
        <w:spacing w:before="60" w:after="100"/>
      </w:pPr>
      <w:r>
        <w:rPr>
          <w:color w:val="222222"/>
        </w:rPr>
        <w:t>The cold start problem for a two-sided cooperative is manageable if the financial layer is launched before the marketplace layer. The credit pool provides immediate, legible value to workers who are already earning through existing platforms. They do not need to change how they find work to benefit from cheaper credit. This allows the trust network, reputation data, and social fabric to develop before the more complex challenge of displacing incumbent marketplaces is attempted.</w:t>
      </w:r>
    </w:p>
    <w:p w14:paraId="069525EB" w14:textId="77777777" w:rsidR="00F03979" w:rsidRDefault="00F039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03979" w14:paraId="4E080C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D5C8C"/>
            <w:tcMar>
              <w:top w:w="80" w:type="dxa"/>
              <w:left w:w="120" w:type="dxa"/>
              <w:bottom w:w="80" w:type="dxa"/>
              <w:right w:w="120" w:type="dxa"/>
            </w:tcMar>
          </w:tcPr>
          <w:p w14:paraId="22DC5987" w14:textId="77777777" w:rsidR="00F03979" w:rsidRDefault="00000000">
            <w:r>
              <w:rPr>
                <w:b/>
                <w:bCs/>
                <w:color w:val="FFFFFF"/>
                <w:sz w:val="20"/>
                <w:szCs w:val="20"/>
              </w:rPr>
              <w:t>Phase</w:t>
            </w:r>
          </w:p>
        </w:tc>
        <w:tc>
          <w:tcPr>
            <w:tcW w:w="7360" w:type="dxa"/>
            <w:tcBorders>
              <w:top w:val="single" w:sz="1" w:space="0" w:color="CCCCCC"/>
              <w:left w:val="single" w:sz="1" w:space="0" w:color="CCCCCC"/>
              <w:bottom w:val="single" w:sz="1" w:space="0" w:color="CCCCCC"/>
              <w:right w:val="single" w:sz="1" w:space="0" w:color="CCCCCC"/>
            </w:tcBorders>
            <w:shd w:val="clear" w:color="auto" w:fill="1D5C8C"/>
            <w:tcMar>
              <w:top w:w="80" w:type="dxa"/>
              <w:left w:w="120" w:type="dxa"/>
              <w:bottom w:w="80" w:type="dxa"/>
              <w:right w:w="120" w:type="dxa"/>
            </w:tcMar>
          </w:tcPr>
          <w:p w14:paraId="7A634982" w14:textId="77777777" w:rsidR="00F03979" w:rsidRDefault="00000000">
            <w:r>
              <w:rPr>
                <w:b/>
                <w:bCs/>
                <w:color w:val="FFFFFF"/>
                <w:sz w:val="20"/>
                <w:szCs w:val="20"/>
              </w:rPr>
              <w:t>Objectives &amp; activities</w:t>
            </w:r>
          </w:p>
        </w:tc>
      </w:tr>
      <w:tr w:rsidR="00F03979" w14:paraId="157912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5D9D8B4" w14:textId="77777777" w:rsidR="00F03979" w:rsidRDefault="00000000">
            <w:r>
              <w:rPr>
                <w:color w:val="333333"/>
                <w:sz w:val="20"/>
                <w:szCs w:val="20"/>
              </w:rPr>
              <w:t>Stage 1 (months 1–12)</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15B4529" w14:textId="77777777" w:rsidR="00F03979" w:rsidRDefault="00000000">
            <w:r>
              <w:rPr>
                <w:color w:val="333333"/>
                <w:sz w:val="20"/>
                <w:szCs w:val="20"/>
              </w:rPr>
              <w:t>Launch credit cooperative. Recruit 100–500 members from a single city and trade. Prove the credit model and governance. Use existing platform activity as income signal.</w:t>
            </w:r>
          </w:p>
        </w:tc>
      </w:tr>
      <w:tr w:rsidR="00F03979" w14:paraId="1B1D51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AAC0D" w14:textId="77777777" w:rsidR="00F03979" w:rsidRDefault="00000000">
            <w:r>
              <w:rPr>
                <w:color w:val="333333"/>
                <w:sz w:val="20"/>
                <w:szCs w:val="20"/>
              </w:rPr>
              <w:t>Stage 2 (months 6–24)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76B54" w14:textId="77777777" w:rsidR="00F03979" w:rsidRDefault="00000000">
            <w:r>
              <w:rPr>
                <w:color w:val="333333"/>
                <w:sz w:val="20"/>
                <w:szCs w:val="20"/>
              </w:rPr>
              <w:t xml:space="preserve">Expand membership. Deploy cooperative surplus as client acquisition subsidy. Build client-facing reputation layer. Begin marketplace </w:t>
            </w:r>
            <w:proofErr w:type="gramStart"/>
            <w:r>
              <w:rPr>
                <w:color w:val="333333"/>
                <w:sz w:val="20"/>
                <w:szCs w:val="20"/>
              </w:rPr>
              <w:t>soft-launch</w:t>
            </w:r>
            <w:proofErr w:type="gramEnd"/>
            <w:r>
              <w:rPr>
                <w:color w:val="333333"/>
                <w:sz w:val="20"/>
                <w:szCs w:val="20"/>
              </w:rPr>
              <w:t xml:space="preserve"> within existing member community.</w:t>
            </w:r>
          </w:p>
        </w:tc>
      </w:tr>
      <w:tr w:rsidR="00F03979" w14:paraId="632ED7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EDEC334" w14:textId="77777777" w:rsidR="00F03979" w:rsidRDefault="00000000">
            <w:r>
              <w:rPr>
                <w:color w:val="333333"/>
                <w:sz w:val="20"/>
                <w:szCs w:val="20"/>
              </w:rPr>
              <w:t>Stage 3 (months 18–48)</w:t>
            </w:r>
          </w:p>
        </w:tc>
        <w:tc>
          <w:tcPr>
            <w:tcW w:w="7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2F3847F" w14:textId="77777777" w:rsidR="00F03979" w:rsidRDefault="00000000">
            <w:r>
              <w:rPr>
                <w:color w:val="333333"/>
                <w:sz w:val="20"/>
                <w:szCs w:val="20"/>
              </w:rPr>
              <w:t>Achieve critical mass in target geography/sector. Marketplace becomes primary job source for a meaningful fraction of members. Expand to adjacent trades and cities.</w:t>
            </w:r>
          </w:p>
        </w:tc>
      </w:tr>
      <w:tr w:rsidR="00F03979" w14:paraId="3446FD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D26E9" w14:textId="77777777" w:rsidR="00F03979" w:rsidRDefault="00000000">
            <w:r>
              <w:rPr>
                <w:color w:val="333333"/>
                <w:sz w:val="20"/>
                <w:szCs w:val="20"/>
              </w:rPr>
              <w:t>Stage 4 (years 3–7)</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A65F9" w14:textId="77777777" w:rsidR="00F03979" w:rsidRDefault="00000000">
            <w:r>
              <w:rPr>
                <w:color w:val="333333"/>
                <w:sz w:val="20"/>
                <w:szCs w:val="20"/>
              </w:rPr>
              <w:t>Multi-sector, multi-city network. Platform layer becomes competitive with incumbent marketplaces in target niches. Begin sector-specific cooperative marketplace deployments.</w:t>
            </w:r>
          </w:p>
        </w:tc>
      </w:tr>
    </w:tbl>
    <w:p w14:paraId="2279692E" w14:textId="77777777" w:rsidR="00F03979" w:rsidRDefault="00F03979"/>
    <w:p w14:paraId="26C4DF95" w14:textId="753584E9" w:rsidR="00F03979" w:rsidRDefault="00000000">
      <w:pPr>
        <w:pStyle w:val="Heading2"/>
      </w:pPr>
      <w:r>
        <w:t xml:space="preserve">4.3 </w:t>
      </w:r>
      <w:r w:rsidR="00F50100">
        <w:t>Capitalizing</w:t>
      </w:r>
      <w:r>
        <w:t xml:space="preserve"> on </w:t>
      </w:r>
      <w:r w:rsidR="00F50100">
        <w:t>P</w:t>
      </w:r>
      <w:r>
        <w:t xml:space="preserve">latform </w:t>
      </w:r>
      <w:r w:rsidR="00F50100">
        <w:t>D</w:t>
      </w:r>
      <w:r>
        <w:t>iscontentment</w:t>
      </w:r>
    </w:p>
    <w:p w14:paraId="69C210BF" w14:textId="3CC31720" w:rsidR="00F03979" w:rsidRDefault="00000000">
      <w:pPr>
        <w:spacing w:before="60" w:after="100"/>
      </w:pPr>
      <w:r>
        <w:rPr>
          <w:color w:val="222222"/>
        </w:rPr>
        <w:t xml:space="preserve">Every major platform periodically generates a cohort of </w:t>
      </w:r>
      <w:r w:rsidR="00F50100">
        <w:rPr>
          <w:color w:val="222222"/>
        </w:rPr>
        <w:t>radicalized</w:t>
      </w:r>
      <w:r>
        <w:rPr>
          <w:color w:val="222222"/>
        </w:rPr>
        <w:t xml:space="preserve">, motivated workers through fee increases, algorithm changes, or policy shifts. Upwork’s fee restructuring, Etsy’s repeated fee increases, Angi’s lead quality deterioration, and Fiverr’s commission changes have each created moments where large numbers of workers actively sought alternatives and </w:t>
      </w:r>
      <w:r w:rsidR="00F50100">
        <w:rPr>
          <w:color w:val="222222"/>
        </w:rPr>
        <w:t>organized</w:t>
      </w:r>
      <w:r>
        <w:rPr>
          <w:color w:val="222222"/>
        </w:rPr>
        <w:t xml:space="preserve"> around the grievance. Dotcommon does not need to convince satisfied platform users to switch. It needs to be a credible, operational alternative when the next </w:t>
      </w:r>
      <w:r w:rsidR="00F50100">
        <w:rPr>
          <w:color w:val="222222"/>
        </w:rPr>
        <w:t>radicalization</w:t>
      </w:r>
      <w:r>
        <w:rPr>
          <w:color w:val="222222"/>
        </w:rPr>
        <w:t xml:space="preserve"> event occurs.</w:t>
      </w:r>
    </w:p>
    <w:p w14:paraId="64363A9B" w14:textId="32804EAD" w:rsidR="00F03979" w:rsidRDefault="00000000" w:rsidP="00F50100">
      <w:pPr>
        <w:spacing w:before="60" w:after="100"/>
      </w:pPr>
      <w:r>
        <w:rPr>
          <w:color w:val="222222"/>
        </w:rPr>
        <w:lastRenderedPageBreak/>
        <w:t>The cooperative’s member distribution network is the primary activation mechanism for these moments. Members who have experienced the financial benefits of the cooperative have a personal economic stake in recruiting newly disgruntled workers from their professional networks.</w:t>
      </w:r>
    </w:p>
    <w:p w14:paraId="0F733942" w14:textId="77777777" w:rsidR="00F03979" w:rsidRDefault="00000000">
      <w:pPr>
        <w:pStyle w:val="Heading1"/>
        <w:pBdr>
          <w:bottom w:val="single" w:sz="4" w:space="4" w:color="1D5C8C"/>
        </w:pBdr>
      </w:pPr>
      <w:r>
        <w:t>5. Expected Member Benefits Over Time</w:t>
      </w:r>
    </w:p>
    <w:p w14:paraId="5268507F" w14:textId="77777777" w:rsidR="00F03979" w:rsidRDefault="00000000">
      <w:pPr>
        <w:pStyle w:val="Heading2"/>
      </w:pPr>
      <w:r>
        <w:t>5.1 Year 1 — early network (100–500 members)</w:t>
      </w:r>
    </w:p>
    <w:p w14:paraId="06E508D5" w14:textId="45EEDFAD" w:rsidR="00F03979" w:rsidRDefault="00000000">
      <w:pPr>
        <w:spacing w:before="60" w:after="100"/>
      </w:pPr>
      <w:r>
        <w:rPr>
          <w:color w:val="222222"/>
        </w:rPr>
        <w:t xml:space="preserve">In the early network, infrastructure costs are spread across a small membership, so </w:t>
      </w:r>
      <w:r w:rsidR="00F50100">
        <w:rPr>
          <w:color w:val="222222"/>
        </w:rPr>
        <w:t>amortized</w:t>
      </w:r>
      <w:r>
        <w:rPr>
          <w:color w:val="222222"/>
        </w:rPr>
        <w:t xml:space="preserve"> overhead per member is higher. Credit rates are also higher because the income dataset is thin. Despite this, the cooperative is meaningfully cheaper than conventional alternatives because the platform fee elimination and payment processing savings are income-percentage costs that do not depend on network size.</w:t>
      </w:r>
    </w:p>
    <w:p w14:paraId="1B908E0D" w14:textId="77777777" w:rsidR="00F03979" w:rsidRDefault="00F039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8108"/>
      </w:tblGrid>
      <w:tr w:rsidR="00F03979" w14:paraId="707A09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20" w:type="dxa"/>
              <w:bottom w:w="100" w:type="dxa"/>
              <w:right w:w="120" w:type="dxa"/>
            </w:tcMar>
            <w:vAlign w:val="center"/>
          </w:tcPr>
          <w:p w14:paraId="13A644D1" w14:textId="77777777" w:rsidR="00F03979" w:rsidRDefault="00000000">
            <w:pPr>
              <w:jc w:val="center"/>
            </w:pPr>
            <w:r>
              <w:rPr>
                <w:b/>
                <w:bCs/>
                <w:color w:val="0F6E56"/>
                <w:sz w:val="20"/>
                <w:szCs w:val="20"/>
              </w:rPr>
              <w:t>YEAR 1 ESTIMATE</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2AE5B536" w14:textId="77777777" w:rsidR="00F50100" w:rsidRDefault="00000000">
            <w:pPr>
              <w:rPr>
                <w:color w:val="333333"/>
                <w:sz w:val="20"/>
                <w:szCs w:val="20"/>
              </w:rPr>
            </w:pPr>
            <w:r>
              <w:rPr>
                <w:color w:val="333333"/>
                <w:sz w:val="20"/>
                <w:szCs w:val="20"/>
              </w:rPr>
              <w:t xml:space="preserve">For a worker earning $80,000/year at 15% credit </w:t>
            </w:r>
            <w:proofErr w:type="spellStart"/>
            <w:r>
              <w:rPr>
                <w:color w:val="333333"/>
                <w:sz w:val="20"/>
                <w:szCs w:val="20"/>
              </w:rPr>
              <w:t>utilisation</w:t>
            </w:r>
            <w:proofErr w:type="spellEnd"/>
            <w:r>
              <w:rPr>
                <w:color w:val="333333"/>
                <w:sz w:val="20"/>
                <w:szCs w:val="20"/>
              </w:rPr>
              <w:t>: estimated total platform + credit cost of $2,800–3,800 versus $17,800–19,200 on a traditional stack.</w:t>
            </w:r>
          </w:p>
          <w:p w14:paraId="6CAAD353" w14:textId="5B3C145A" w:rsidR="00F03979" w:rsidRPr="00F50100" w:rsidRDefault="00000000">
            <w:pPr>
              <w:rPr>
                <w:b/>
                <w:bCs/>
              </w:rPr>
            </w:pPr>
            <w:r w:rsidRPr="00F50100">
              <w:rPr>
                <w:b/>
                <w:bCs/>
                <w:color w:val="333333"/>
                <w:sz w:val="20"/>
                <w:szCs w:val="20"/>
              </w:rPr>
              <w:t>Net annual saving: ~$14,000–16,000.</w:t>
            </w:r>
          </w:p>
        </w:tc>
      </w:tr>
    </w:tbl>
    <w:p w14:paraId="14C547EB" w14:textId="77777777" w:rsidR="00F03979" w:rsidRDefault="00F03979"/>
    <w:p w14:paraId="6F64B8D7" w14:textId="77777777" w:rsidR="00F03979" w:rsidRDefault="00000000">
      <w:pPr>
        <w:pStyle w:val="Heading2"/>
      </w:pPr>
      <w:r>
        <w:t>5.2 Year 3 — mature network (1,000–5,000 members)</w:t>
      </w:r>
    </w:p>
    <w:p w14:paraId="06141256" w14:textId="5A544884" w:rsidR="00F03979" w:rsidRDefault="00000000">
      <w:pPr>
        <w:spacing w:before="60" w:after="100"/>
      </w:pPr>
      <w:r>
        <w:rPr>
          <w:color w:val="222222"/>
        </w:rPr>
        <w:t xml:space="preserve">At this scale, three compounding improvements reduce member costs further. Infrastructure </w:t>
      </w:r>
      <w:r w:rsidR="00F50100">
        <w:rPr>
          <w:color w:val="222222"/>
        </w:rPr>
        <w:t>amortization</w:t>
      </w:r>
      <w:r>
        <w:rPr>
          <w:color w:val="222222"/>
        </w:rPr>
        <w:t xml:space="preserve"> drops significantly as fixed costs are divided across more members. The income dataset is rich enough to reduce risk premiums materially. And the cooperative surplus begins funding non-credit benefits — collective equipment purchasing programs, shared liability insurance pools, apprenticeship funding — that reduce total cost of operating as an independent worker beyond the direct financial savings.</w:t>
      </w:r>
    </w:p>
    <w:p w14:paraId="4B101507" w14:textId="77777777" w:rsidR="00F03979" w:rsidRDefault="00000000">
      <w:pPr>
        <w:pStyle w:val="Heading2"/>
      </w:pPr>
      <w:r>
        <w:t>5.3 Year 5+ — marketplace integration</w:t>
      </w:r>
    </w:p>
    <w:p w14:paraId="430398B1" w14:textId="77777777" w:rsidR="00F03979" w:rsidRDefault="00000000">
      <w:pPr>
        <w:spacing w:before="60" w:after="100"/>
      </w:pPr>
      <w:r>
        <w:rPr>
          <w:color w:val="222222"/>
        </w:rPr>
        <w:t>Once the cooperative marketplace is a primary source of work for a meaningful fraction of members, the platform fee extraction point is eliminated entirely. The cooperative charges only what is needed to operate the matching infrastructure — estimated at 3–6% versus the 15–30% charged by incumbent platforms. The cumulative financial benefit of combined credit and marketplace savings at this stage represents a transformation in the economic position of independent workers, not merely an incremental improvement.</w:t>
      </w:r>
    </w:p>
    <w:p w14:paraId="7C34BF8F" w14:textId="2C023213" w:rsidR="00F03979" w:rsidRDefault="00000000" w:rsidP="00F50100">
      <w:pPr>
        <w:spacing w:before="60" w:after="100"/>
      </w:pPr>
      <w:r>
        <w:rPr>
          <w:color w:val="222222"/>
        </w:rPr>
        <w:t>Long-term members who joined in the bootstrap phase and have built deep reputation scores within the cooperative governance system also hold the most influence over the platform’s direction as it scales — ensuring that the cooperative character is structurally resistant to erosion as the membership grows.</w:t>
      </w:r>
    </w:p>
    <w:p w14:paraId="0EA5CF5B" w14:textId="77777777" w:rsidR="00F03979" w:rsidRDefault="00000000">
      <w:pPr>
        <w:pStyle w:val="Heading1"/>
        <w:pBdr>
          <w:bottom w:val="single" w:sz="4" w:space="4" w:color="1D5C8C"/>
        </w:pBdr>
      </w:pPr>
      <w:r>
        <w:t>6. Challenges &amp; Risk Mitigation</w:t>
      </w:r>
    </w:p>
    <w:p w14:paraId="0A109A06" w14:textId="77777777" w:rsidR="00F03979" w:rsidRDefault="00000000">
      <w:pPr>
        <w:pStyle w:val="Heading2"/>
      </w:pPr>
      <w:r>
        <w:t>6.1 Technical challenges</w:t>
      </w:r>
    </w:p>
    <w:p w14:paraId="39F181FE" w14:textId="77777777" w:rsidR="00F03979" w:rsidRDefault="00000000">
      <w:pPr>
        <w:spacing w:before="200" w:after="60"/>
      </w:pPr>
      <w:r>
        <w:rPr>
          <w:b/>
          <w:bCs/>
          <w:color w:val="333333"/>
        </w:rPr>
        <w:t>ZK attestation maturity</w:t>
      </w:r>
    </w:p>
    <w:p w14:paraId="0114AE64" w14:textId="28BE6F4C" w:rsidR="00F03979" w:rsidRDefault="00000000">
      <w:pPr>
        <w:spacing w:before="60" w:after="100"/>
      </w:pPr>
      <w:r>
        <w:rPr>
          <w:color w:val="222222"/>
        </w:rPr>
        <w:t xml:space="preserve">TLSNotary, the preferred income attestation protocol, is research-grade transitioning to production. Developer experience is rough, and the protocol has not been deployed at consumer scale. The mitigation is a staged migration: launch with Reclaim Protocol (early production, commercial dependency accepted as a temporary tradeoff), migrate to TLSNotary as it matures. The architecture is designed with </w:t>
      </w:r>
      <w:r w:rsidR="00F50100">
        <w:rPr>
          <w:color w:val="222222"/>
        </w:rPr>
        <w:t xml:space="preserve">a modular and replaceable </w:t>
      </w:r>
      <w:r>
        <w:rPr>
          <w:color w:val="222222"/>
        </w:rPr>
        <w:t xml:space="preserve">attestation layer </w:t>
      </w:r>
      <w:r w:rsidR="00F50100">
        <w:rPr>
          <w:color w:val="222222"/>
        </w:rPr>
        <w:t>in mind</w:t>
      </w:r>
      <w:r>
        <w:rPr>
          <w:color w:val="222222"/>
        </w:rPr>
        <w:t>.</w:t>
      </w:r>
    </w:p>
    <w:p w14:paraId="1172DFE3" w14:textId="77777777" w:rsidR="00F03979" w:rsidRDefault="00000000">
      <w:pPr>
        <w:spacing w:before="200" w:after="60"/>
      </w:pPr>
      <w:r>
        <w:rPr>
          <w:b/>
          <w:bCs/>
          <w:color w:val="333333"/>
        </w:rPr>
        <w:t>Smart contract risk</w:t>
      </w:r>
    </w:p>
    <w:p w14:paraId="7F03CBB9" w14:textId="413C4700" w:rsidR="00F03979" w:rsidRDefault="00000000">
      <w:pPr>
        <w:spacing w:before="60" w:after="100"/>
      </w:pPr>
      <w:r>
        <w:rPr>
          <w:color w:val="222222"/>
        </w:rPr>
        <w:t xml:space="preserve">The mutual credit pool is a custom smart contract holding member funds. </w:t>
      </w:r>
      <w:r w:rsidR="00F50100">
        <w:rPr>
          <w:color w:val="222222"/>
        </w:rPr>
        <w:t xml:space="preserve">Therefore, </w:t>
      </w:r>
      <w:proofErr w:type="gramStart"/>
      <w:r w:rsidR="00F50100">
        <w:rPr>
          <w:color w:val="222222"/>
        </w:rPr>
        <w:t>a</w:t>
      </w:r>
      <w:r>
        <w:rPr>
          <w:color w:val="222222"/>
        </w:rPr>
        <w:t xml:space="preserve"> vulnerability</w:t>
      </w:r>
      <w:proofErr w:type="gramEnd"/>
      <w:r>
        <w:rPr>
          <w:color w:val="222222"/>
        </w:rPr>
        <w:t xml:space="preserve"> could result in fund loss. Mitigation requires a rigorous audit program (budget $20,000–80,000 for initial audit), formal </w:t>
      </w:r>
      <w:r>
        <w:rPr>
          <w:color w:val="222222"/>
        </w:rPr>
        <w:lastRenderedPageBreak/>
        <w:t>verification for critical functions, a bug bounty program, and a conservative initial deployment with low credit limits that scale as the contract accumulates operational history.</w:t>
      </w:r>
    </w:p>
    <w:p w14:paraId="4FAB6FC1" w14:textId="77777777" w:rsidR="00F03979" w:rsidRDefault="00000000">
      <w:pPr>
        <w:spacing w:before="200" w:after="60"/>
      </w:pPr>
      <w:r>
        <w:rPr>
          <w:b/>
          <w:bCs/>
          <w:color w:val="333333"/>
        </w:rPr>
        <w:t>Regulatory exposure</w:t>
      </w:r>
    </w:p>
    <w:p w14:paraId="7EEB24CA" w14:textId="08488E47" w:rsidR="00F03979" w:rsidRDefault="00000000">
      <w:pPr>
        <w:spacing w:before="60" w:after="100"/>
      </w:pPr>
      <w:r>
        <w:rPr>
          <w:color w:val="222222"/>
        </w:rPr>
        <w:t>Operating a mutual credit network that accepts fiat deposits may trigger money transmission licensing requirements in some US states. Connecting to fiat ramps through licensed providers (</w:t>
      </w:r>
      <w:r w:rsidR="00F50100">
        <w:rPr>
          <w:color w:val="222222"/>
        </w:rPr>
        <w:t xml:space="preserve">e.g. </w:t>
      </w:r>
      <w:r>
        <w:rPr>
          <w:color w:val="222222"/>
        </w:rPr>
        <w:t>Stripe</w:t>
      </w:r>
      <w:r w:rsidR="00F50100">
        <w:rPr>
          <w:color w:val="222222"/>
        </w:rPr>
        <w:t xml:space="preserve"> or</w:t>
      </w:r>
      <w:r>
        <w:rPr>
          <w:color w:val="222222"/>
        </w:rPr>
        <w:t xml:space="preserve"> Moonpay) partially addresses this by outsourcing the licensed activity, but legal counsel is required to determine whether the cooperative itself requires licensing. Budget $5,000–20,000 annually for legal and compliance.</w:t>
      </w:r>
    </w:p>
    <w:p w14:paraId="1DEF45E2" w14:textId="77777777" w:rsidR="00F03979" w:rsidRDefault="00000000">
      <w:pPr>
        <w:pStyle w:val="Heading2"/>
      </w:pPr>
      <w:r>
        <w:t>6.2 Sociological challenges</w:t>
      </w:r>
    </w:p>
    <w:p w14:paraId="7F58A32C" w14:textId="77777777" w:rsidR="00F03979" w:rsidRDefault="00000000">
      <w:pPr>
        <w:spacing w:before="200" w:after="60"/>
      </w:pPr>
      <w:r>
        <w:rPr>
          <w:b/>
          <w:bCs/>
          <w:color w:val="333333"/>
        </w:rPr>
        <w:t>Governance velocity</w:t>
      </w:r>
    </w:p>
    <w:p w14:paraId="0678D868" w14:textId="6E5495B5" w:rsidR="00F03979" w:rsidRDefault="00000000">
      <w:pPr>
        <w:spacing w:before="60" w:after="100"/>
      </w:pPr>
      <w:r>
        <w:rPr>
          <w:color w:val="222222"/>
        </w:rPr>
        <w:t xml:space="preserve">Cooperative governance is structurally slower than founder-led decision-making. In the bootstrap phase this creates a real tension: the </w:t>
      </w:r>
      <w:r w:rsidR="00F50100">
        <w:rPr>
          <w:color w:val="222222"/>
        </w:rPr>
        <w:t>organization</w:t>
      </w:r>
      <w:r>
        <w:rPr>
          <w:color w:val="222222"/>
        </w:rPr>
        <w:t xml:space="preserve"> needs to move quickly to establish viability, but democratic legitimacy requires genuine member participation in decisions. The mitigation is explicit, time-bound delegation: a founding council holds delegated authority for operational decisions in the first 18 months, with a constitutional commitment to transition to full member governance by a defined milestone. This must be codified in the cooperative’s founding documents, not left as an informal promise.</w:t>
      </w:r>
    </w:p>
    <w:p w14:paraId="6512C65A" w14:textId="77777777" w:rsidR="00F03979" w:rsidRDefault="00000000">
      <w:pPr>
        <w:spacing w:before="200" w:after="60"/>
      </w:pPr>
      <w:r>
        <w:rPr>
          <w:b/>
          <w:bCs/>
          <w:color w:val="333333"/>
        </w:rPr>
        <w:t>Trust bootstrapping</w:t>
      </w:r>
    </w:p>
    <w:p w14:paraId="1C5049DB" w14:textId="13AD6FA8" w:rsidR="00F03979" w:rsidRDefault="00000000">
      <w:pPr>
        <w:spacing w:before="60" w:after="100"/>
      </w:pPr>
      <w:r>
        <w:rPr>
          <w:color w:val="222222"/>
        </w:rPr>
        <w:t>Mutual credit depends on social trust that takes time to develop. Early members are extending credit to people they may not know well. The vouching mechanism</w:t>
      </w:r>
      <w:r w:rsidR="00F50100">
        <w:rPr>
          <w:color w:val="222222"/>
        </w:rPr>
        <w:t>,</w:t>
      </w:r>
      <w:r>
        <w:rPr>
          <w:color w:val="222222"/>
        </w:rPr>
        <w:t xml:space="preserve"> where established members stake a fraction of their credit limit on new member attestations</w:t>
      </w:r>
      <w:r w:rsidR="00F50100">
        <w:rPr>
          <w:color w:val="222222"/>
        </w:rPr>
        <w:t>,</w:t>
      </w:r>
      <w:r>
        <w:rPr>
          <w:color w:val="222222"/>
        </w:rPr>
        <w:t xml:space="preserve"> creates an incentive structure that mimics the trust dynamics of traditional community lending without requiring prior personal relationships. However, this system can stratify along economic lines if wealthier early members can absorb vouching consequences that poorer ones cannot. Governance rules must prevent vouching becoming a gatekeeping mechanism.</w:t>
      </w:r>
    </w:p>
    <w:p w14:paraId="4F2E2442" w14:textId="77777777" w:rsidR="00F03979" w:rsidRDefault="00000000">
      <w:pPr>
        <w:spacing w:before="200" w:after="60"/>
      </w:pPr>
      <w:r>
        <w:rPr>
          <w:b/>
          <w:bCs/>
          <w:color w:val="333333"/>
        </w:rPr>
        <w:t>Cooperative identity under growth pressure</w:t>
      </w:r>
    </w:p>
    <w:p w14:paraId="3831DFAE" w14:textId="3E35F1FF" w:rsidR="00F03979" w:rsidRDefault="00000000">
      <w:pPr>
        <w:spacing w:before="60" w:after="100"/>
      </w:pPr>
      <w:r>
        <w:rPr>
          <w:color w:val="222222"/>
        </w:rPr>
        <w:t xml:space="preserve">As the network grows and the platform becomes commercially successful, pressure to abandon cooperative principles in </w:t>
      </w:r>
      <w:r w:rsidR="00F50100">
        <w:rPr>
          <w:color w:val="222222"/>
        </w:rPr>
        <w:t>favor</w:t>
      </w:r>
      <w:r>
        <w:rPr>
          <w:color w:val="222222"/>
        </w:rPr>
        <w:t xml:space="preserve"> of conventional investment and extraction will intensify. Governance structure is the primary </w:t>
      </w:r>
      <w:r w:rsidR="00F50100">
        <w:rPr>
          <w:color w:val="222222"/>
        </w:rPr>
        <w:t>defense</w:t>
      </w:r>
      <w:r>
        <w:rPr>
          <w:color w:val="222222"/>
        </w:rPr>
        <w:t>, but it must be reinforced by explicit membership agreements, constitutional limitations on profit distribution, and a culture that is deliberately cultivated in the early membership. Cooperatives that have maintained their character at scale</w:t>
      </w:r>
      <w:r w:rsidR="00F50100">
        <w:rPr>
          <w:color w:val="222222"/>
        </w:rPr>
        <w:t xml:space="preserve"> (e.g.</w:t>
      </w:r>
      <w:r>
        <w:rPr>
          <w:color w:val="222222"/>
        </w:rPr>
        <w:t xml:space="preserve"> Mondragon, REI, Vanguard</w:t>
      </w:r>
      <w:r w:rsidR="00F50100">
        <w:rPr>
          <w:color w:val="222222"/>
        </w:rPr>
        <w:t>)</w:t>
      </w:r>
      <w:r>
        <w:rPr>
          <w:color w:val="222222"/>
        </w:rPr>
        <w:t xml:space="preserve"> have done so through consistent, active cultural maintenance, not through structural constraints alone.</w:t>
      </w:r>
    </w:p>
    <w:p w14:paraId="6C5ED8AC" w14:textId="77777777" w:rsidR="00F03979" w:rsidRDefault="00000000">
      <w:pPr>
        <w:pStyle w:val="Heading2"/>
      </w:pPr>
      <w:r>
        <w:t>6.3 Default risk</w:t>
      </w:r>
    </w:p>
    <w:p w14:paraId="787A9257" w14:textId="160CA1F9" w:rsidR="00F03979" w:rsidRDefault="00000000" w:rsidP="00F50100">
      <w:pPr>
        <w:spacing w:before="60" w:after="100"/>
      </w:pPr>
      <w:r>
        <w:rPr>
          <w:color w:val="222222"/>
        </w:rPr>
        <w:t>The credit pool is exposed to member defaults. At a 3% annual default rate with 55% recovery over two years</w:t>
      </w:r>
      <w:r w:rsidR="00F50100">
        <w:rPr>
          <w:color w:val="222222"/>
        </w:rPr>
        <w:t xml:space="preserve"> (</w:t>
      </w:r>
      <w:r>
        <w:rPr>
          <w:color w:val="222222"/>
        </w:rPr>
        <w:t>a conservative but plausible assumption</w:t>
      </w:r>
      <w:r w:rsidR="00F50100">
        <w:rPr>
          <w:color w:val="222222"/>
        </w:rPr>
        <w:t>),</w:t>
      </w:r>
      <w:r>
        <w:rPr>
          <w:color w:val="222222"/>
        </w:rPr>
        <w:t xml:space="preserve"> the pool requires an effective credit rate of approximately 2.5–3.5% to remain solvent, well within the target range. However, early-stage networks have limited data for underwriting and may experience higher default rates until the income attestation layer matures. A conservative initial credit limit structure (small limits for new members, expanding with track record) and a mandatory pool health reserve (minimum 10% of outstanding credit volume held as reserve) provide buffers against early-stage volatility.</w:t>
      </w:r>
    </w:p>
    <w:p w14:paraId="114D1456" w14:textId="77777777" w:rsidR="00F03979" w:rsidRDefault="00000000">
      <w:pPr>
        <w:pStyle w:val="Heading1"/>
        <w:pBdr>
          <w:bottom w:val="single" w:sz="4" w:space="4" w:color="1D5C8C"/>
        </w:pBdr>
      </w:pPr>
      <w:r>
        <w:t>7. Long-Term Vision: Replacing Extractive Marketplaces</w:t>
      </w:r>
    </w:p>
    <w:p w14:paraId="5511DD1D" w14:textId="77777777" w:rsidR="00F03979" w:rsidRDefault="00000000">
      <w:pPr>
        <w:pStyle w:val="Heading2"/>
      </w:pPr>
      <w:r>
        <w:t>7.1 The disintermediation thesis</w:t>
      </w:r>
    </w:p>
    <w:p w14:paraId="295C9261" w14:textId="77777777" w:rsidR="00F03979" w:rsidRDefault="00000000">
      <w:pPr>
        <w:spacing w:before="60" w:after="100"/>
      </w:pPr>
      <w:r>
        <w:rPr>
          <w:color w:val="222222"/>
        </w:rPr>
        <w:t>The long-term objective of Dotcommon is not to be a better financial services provider within the existing economic structure — it is to progressively dismantle the structural dependency of workers on corporate platform intermediaries. This is a multi-decade project that requires building at each stage the conditions for the next stage.</w:t>
      </w:r>
    </w:p>
    <w:p w14:paraId="5F685BD8" w14:textId="77777777" w:rsidR="00F03979" w:rsidRDefault="00000000">
      <w:pPr>
        <w:spacing w:before="60" w:after="100"/>
      </w:pPr>
      <w:r>
        <w:rPr>
          <w:color w:val="222222"/>
        </w:rPr>
        <w:lastRenderedPageBreak/>
        <w:t>The financial cooperative, once established at scale, becomes the institutional and social foundation for a cooperative marketplace. Members who already trust the cooperative with their credit relationships are a ready constituency for a cooperative job marketplace. The governance infrastructure already exists. The payment infrastructure already exists. The reputation system, which was built for credit underwriting, is directly applicable to marketplace trust. The marginal cost of extending the cooperative into the marketplace function is far lower than building a new marketplace from scratch.</w:t>
      </w:r>
    </w:p>
    <w:p w14:paraId="419847AF" w14:textId="77777777" w:rsidR="00F03979" w:rsidRDefault="00000000">
      <w:pPr>
        <w:pStyle w:val="Heading2"/>
      </w:pPr>
      <w:r>
        <w:t>7.2 The plug-in strategy</w:t>
      </w:r>
    </w:p>
    <w:p w14:paraId="0A02D2BA" w14:textId="77777777" w:rsidR="00F03979" w:rsidRDefault="00000000">
      <w:pPr>
        <w:spacing w:before="60" w:after="100"/>
      </w:pPr>
      <w:r>
        <w:rPr>
          <w:color w:val="222222"/>
        </w:rPr>
        <w:t xml:space="preserve">Dotcommon does not attempt to displace incumbent marketplaces directly in the short or medium term. Instead, it deploys as a financial services layer that workers use alongside their existing platform relationships. This plug-in approach sidesteps the network effect barrier: workers do not have to abandon their existing income sources to benefit from the cooperative. Over time, as the cooperative’s marketplace function </w:t>
      </w:r>
      <w:proofErr w:type="gramStart"/>
      <w:r>
        <w:rPr>
          <w:color w:val="222222"/>
        </w:rPr>
        <w:t>develops</w:t>
      </w:r>
      <w:proofErr w:type="gramEnd"/>
      <w:r>
        <w:rPr>
          <w:color w:val="222222"/>
        </w:rPr>
        <w:t xml:space="preserve"> depth within specific sectors and geographies, individual workers can progressively shift their primary source of work from corporate platforms to the cooperative — but at their own pace and on their own terms.</w:t>
      </w:r>
    </w:p>
    <w:p w14:paraId="295AEE5B" w14:textId="77777777" w:rsidR="00F03979" w:rsidRDefault="00000000">
      <w:pPr>
        <w:pStyle w:val="Heading2"/>
      </w:pPr>
      <w:r>
        <w:t>7.3 Sector-by-sector expansion</w:t>
      </w:r>
    </w:p>
    <w:p w14:paraId="2076E929" w14:textId="77777777" w:rsidR="00F03979" w:rsidRDefault="00000000">
      <w:pPr>
        <w:spacing w:before="60" w:after="100"/>
      </w:pPr>
      <w:r>
        <w:rPr>
          <w:color w:val="222222"/>
        </w:rPr>
        <w:t xml:space="preserve">The replacement of corporate marketplaces is most tractable in sectors where network effects are local or domain-specific rather than global. A skilled trades cooperative in Denver does not need to compete with Angi nationally — it needs to achieve sufficient penetration in the Denver market that local clients prefer it. A freelance design cooperative does not need to compete with Upwork globally — it needs to be the obvious first choice within a specific design community. The </w:t>
      </w:r>
      <w:proofErr w:type="gramStart"/>
      <w:r>
        <w:rPr>
          <w:color w:val="222222"/>
        </w:rPr>
        <w:t>cooperative’s</w:t>
      </w:r>
      <w:proofErr w:type="gramEnd"/>
      <w:r>
        <w:rPr>
          <w:color w:val="222222"/>
        </w:rPr>
        <w:t xml:space="preserve"> structure, which naturally forms around existing community networks, is well-suited to this geography- and sector-specific competition.</w:t>
      </w:r>
    </w:p>
    <w:p w14:paraId="0CDB840B" w14:textId="77777777" w:rsidR="00F03979" w:rsidRDefault="00000000">
      <w:pPr>
        <w:pStyle w:val="Heading2"/>
      </w:pPr>
      <w:r>
        <w:t>7.4 The compounding advantage</w:t>
      </w:r>
    </w:p>
    <w:p w14:paraId="5C654BAC" w14:textId="77777777" w:rsidR="00F03979" w:rsidRDefault="00000000">
      <w:pPr>
        <w:spacing w:before="60" w:after="100"/>
      </w:pPr>
      <w:r>
        <w:rPr>
          <w:color w:val="222222"/>
        </w:rPr>
        <w:t xml:space="preserve">As </w:t>
      </w:r>
      <w:proofErr w:type="gramStart"/>
      <w:r>
        <w:rPr>
          <w:color w:val="222222"/>
        </w:rPr>
        <w:t>the cooperative</w:t>
      </w:r>
      <w:proofErr w:type="gramEnd"/>
      <w:r>
        <w:rPr>
          <w:color w:val="222222"/>
        </w:rPr>
        <w:t xml:space="preserve"> grows, its advantages compound in ways that incumbent platforms cannot replicate. Each additional member improves the income dataset, which improves underwriting, which reduces credit rates, which makes membership more attractive. Each retained surplus that does not flow to investors </w:t>
      </w:r>
      <w:proofErr w:type="gramStart"/>
      <w:r>
        <w:rPr>
          <w:color w:val="222222"/>
        </w:rPr>
        <w:t>instead</w:t>
      </w:r>
      <w:proofErr w:type="gramEnd"/>
      <w:r>
        <w:rPr>
          <w:color w:val="222222"/>
        </w:rPr>
        <w:t xml:space="preserve"> funds member benefits, which deepens the economic logic of membership. Each governance decision made democratically builds the trust and social fabric that makes the cooperative resilient against capture.</w:t>
      </w:r>
    </w:p>
    <w:p w14:paraId="3514EFBC" w14:textId="77777777" w:rsidR="00F03979" w:rsidRDefault="00000000">
      <w:pPr>
        <w:spacing w:before="60" w:after="100"/>
      </w:pPr>
      <w:r>
        <w:rPr>
          <w:color w:val="222222"/>
        </w:rPr>
        <w:t xml:space="preserve">Incumbent platforms face the opposite dynamic. Investor pressure to maintain or improve returns forces ongoing fee increases and margin extraction. Each extraction event produces a cohort of </w:t>
      </w:r>
      <w:proofErr w:type="spellStart"/>
      <w:r>
        <w:rPr>
          <w:color w:val="222222"/>
        </w:rPr>
        <w:t>radicalised</w:t>
      </w:r>
      <w:proofErr w:type="spellEnd"/>
      <w:r>
        <w:rPr>
          <w:color w:val="222222"/>
        </w:rPr>
        <w:t xml:space="preserve"> workers who are actively seeking alternatives. </w:t>
      </w:r>
      <w:proofErr w:type="spellStart"/>
      <w:r>
        <w:rPr>
          <w:color w:val="222222"/>
        </w:rPr>
        <w:t>Dotcommon’s</w:t>
      </w:r>
      <w:proofErr w:type="spellEnd"/>
      <w:r>
        <w:rPr>
          <w:color w:val="222222"/>
        </w:rPr>
        <w:t xml:space="preserve"> growth depends on being ready to receive those cohorts when they arrive — credible, operational, and demonstrably better.</w:t>
      </w:r>
    </w:p>
    <w:p w14:paraId="7F3DC880" w14:textId="77777777" w:rsidR="00F03979" w:rsidRDefault="00F039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F03979" w14:paraId="63B144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20" w:type="dxa"/>
              <w:bottom w:w="100" w:type="dxa"/>
              <w:right w:w="120" w:type="dxa"/>
            </w:tcMar>
            <w:vAlign w:val="center"/>
          </w:tcPr>
          <w:p w14:paraId="0041C21A" w14:textId="77777777" w:rsidR="00F03979" w:rsidRDefault="00000000">
            <w:pPr>
              <w:jc w:val="center"/>
            </w:pPr>
            <w:r>
              <w:rPr>
                <w:b/>
                <w:bCs/>
                <w:color w:val="0F6E56"/>
                <w:sz w:val="20"/>
                <w:szCs w:val="20"/>
              </w:rPr>
              <w:t>LONG-TERM GOAL</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75C00CA0" w14:textId="77777777" w:rsidR="00F03979" w:rsidRDefault="00000000">
            <w:r>
              <w:rPr>
                <w:color w:val="333333"/>
                <w:sz w:val="20"/>
                <w:szCs w:val="20"/>
              </w:rPr>
              <w:t>Within ten years: a network of sector-specific cooperative marketplaces, each owned and governed by their worker members, collectively serving 100,000+ independent workers across the US, with total annual rent extraction from corporate intermediaries reduced by $1 billion or more.</w:t>
            </w:r>
          </w:p>
        </w:tc>
      </w:tr>
    </w:tbl>
    <w:p w14:paraId="32B63D6E" w14:textId="2F67E672" w:rsidR="00F50100" w:rsidRDefault="00F50100">
      <w:r>
        <w:br w:type="page"/>
      </w:r>
    </w:p>
    <w:p w14:paraId="05497563" w14:textId="77777777" w:rsidR="00F03979" w:rsidRDefault="00000000">
      <w:pPr>
        <w:pStyle w:val="Heading1"/>
        <w:pBdr>
          <w:bottom w:val="single" w:sz="4" w:space="4" w:color="1D5C8C"/>
        </w:pBdr>
      </w:pPr>
      <w:r>
        <w:lastRenderedPageBreak/>
        <w:t>8. Financial Summary</w:t>
      </w:r>
    </w:p>
    <w:p w14:paraId="6E28FC47" w14:textId="77777777" w:rsidR="00F03979" w:rsidRDefault="00000000">
      <w:pPr>
        <w:pStyle w:val="Heading2"/>
      </w:pPr>
      <w:r>
        <w:t>8.1 Network cost structure at key milestones</w:t>
      </w:r>
    </w:p>
    <w:p w14:paraId="35631B2B" w14:textId="77777777" w:rsidR="00F03979" w:rsidRDefault="00F039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2880"/>
        <w:gridCol w:w="1800"/>
      </w:tblGrid>
      <w:tr w:rsidR="00F03979" w14:paraId="6754D7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D5C8C"/>
            <w:tcMar>
              <w:top w:w="80" w:type="dxa"/>
              <w:left w:w="120" w:type="dxa"/>
              <w:bottom w:w="80" w:type="dxa"/>
              <w:right w:w="120" w:type="dxa"/>
            </w:tcMar>
          </w:tcPr>
          <w:p w14:paraId="3615FF56" w14:textId="77777777" w:rsidR="00F03979" w:rsidRDefault="00000000">
            <w:r>
              <w:rPr>
                <w:b/>
                <w:bCs/>
                <w:color w:val="FFFFFF"/>
                <w:sz w:val="20"/>
                <w:szCs w:val="20"/>
              </w:rPr>
              <w:t>Network size</w:t>
            </w:r>
          </w:p>
        </w:tc>
        <w:tc>
          <w:tcPr>
            <w:tcW w:w="2880" w:type="dxa"/>
            <w:tcBorders>
              <w:top w:val="single" w:sz="1" w:space="0" w:color="CCCCCC"/>
              <w:left w:val="single" w:sz="1" w:space="0" w:color="CCCCCC"/>
              <w:bottom w:val="single" w:sz="1" w:space="0" w:color="CCCCCC"/>
              <w:right w:val="single" w:sz="1" w:space="0" w:color="CCCCCC"/>
            </w:tcBorders>
            <w:shd w:val="clear" w:color="auto" w:fill="1D5C8C"/>
            <w:tcMar>
              <w:top w:w="80" w:type="dxa"/>
              <w:left w:w="120" w:type="dxa"/>
              <w:bottom w:w="80" w:type="dxa"/>
              <w:right w:w="120" w:type="dxa"/>
            </w:tcMar>
          </w:tcPr>
          <w:p w14:paraId="04F1615C" w14:textId="77777777" w:rsidR="00F03979" w:rsidRDefault="00000000">
            <w:r>
              <w:rPr>
                <w:b/>
                <w:bCs/>
                <w:color w:val="FFFFFF"/>
                <w:sz w:val="20"/>
                <w:szCs w:val="20"/>
              </w:rPr>
              <w:t>Infra cost/member/yr</w:t>
            </w:r>
          </w:p>
        </w:tc>
        <w:tc>
          <w:tcPr>
            <w:tcW w:w="2880" w:type="dxa"/>
            <w:tcBorders>
              <w:top w:val="single" w:sz="1" w:space="0" w:color="CCCCCC"/>
              <w:left w:val="single" w:sz="1" w:space="0" w:color="CCCCCC"/>
              <w:bottom w:val="single" w:sz="1" w:space="0" w:color="CCCCCC"/>
              <w:right w:val="single" w:sz="1" w:space="0" w:color="CCCCCC"/>
            </w:tcBorders>
            <w:shd w:val="clear" w:color="auto" w:fill="1D5C8C"/>
            <w:tcMar>
              <w:top w:w="80" w:type="dxa"/>
              <w:left w:w="120" w:type="dxa"/>
              <w:bottom w:w="80" w:type="dxa"/>
              <w:right w:w="120" w:type="dxa"/>
            </w:tcMar>
          </w:tcPr>
          <w:p w14:paraId="3B30B51A" w14:textId="77777777" w:rsidR="00F03979" w:rsidRDefault="00000000">
            <w:r>
              <w:rPr>
                <w:b/>
                <w:bCs/>
                <w:color w:val="FFFFFF"/>
                <w:sz w:val="20"/>
                <w:szCs w:val="20"/>
              </w:rPr>
              <w:t>Total cost/member/yr (opt–pes)</w:t>
            </w:r>
          </w:p>
        </w:tc>
        <w:tc>
          <w:tcPr>
            <w:tcW w:w="1800" w:type="dxa"/>
            <w:tcBorders>
              <w:top w:val="single" w:sz="1" w:space="0" w:color="CCCCCC"/>
              <w:left w:val="single" w:sz="1" w:space="0" w:color="CCCCCC"/>
              <w:bottom w:val="single" w:sz="1" w:space="0" w:color="CCCCCC"/>
              <w:right w:val="single" w:sz="1" w:space="0" w:color="CCCCCC"/>
            </w:tcBorders>
            <w:shd w:val="clear" w:color="auto" w:fill="1D5C8C"/>
            <w:tcMar>
              <w:top w:w="80" w:type="dxa"/>
              <w:left w:w="120" w:type="dxa"/>
              <w:bottom w:w="80" w:type="dxa"/>
              <w:right w:w="120" w:type="dxa"/>
            </w:tcMar>
          </w:tcPr>
          <w:p w14:paraId="56A08681" w14:textId="77777777" w:rsidR="00F03979" w:rsidRDefault="00000000">
            <w:r>
              <w:rPr>
                <w:b/>
                <w:bCs/>
                <w:color w:val="FFFFFF"/>
                <w:sz w:val="20"/>
                <w:szCs w:val="20"/>
              </w:rPr>
              <w:t>Traditional stack cost/member/yr</w:t>
            </w:r>
          </w:p>
        </w:tc>
      </w:tr>
      <w:tr w:rsidR="00F03979" w14:paraId="43622C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CDA801E" w14:textId="77777777" w:rsidR="00F03979" w:rsidRDefault="00000000">
            <w:r>
              <w:rPr>
                <w:color w:val="333333"/>
                <w:sz w:val="20"/>
                <w:szCs w:val="20"/>
              </w:rPr>
              <w:t>100 members</w:t>
            </w:r>
          </w:p>
        </w:tc>
        <w:tc>
          <w:tcPr>
            <w:tcW w:w="28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571C5DC" w14:textId="77777777" w:rsidR="00F03979" w:rsidRDefault="00000000">
            <w:r>
              <w:rPr>
                <w:color w:val="333333"/>
                <w:sz w:val="20"/>
                <w:szCs w:val="20"/>
              </w:rPr>
              <w:t>$280–$620</w:t>
            </w:r>
          </w:p>
        </w:tc>
        <w:tc>
          <w:tcPr>
            <w:tcW w:w="28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8C03CED" w14:textId="77777777" w:rsidR="00F03979" w:rsidRDefault="00000000">
            <w:r>
              <w:rPr>
                <w:color w:val="333333"/>
                <w:sz w:val="20"/>
                <w:szCs w:val="20"/>
              </w:rPr>
              <w:t>$1,100–$2,800</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1EE05D3" w14:textId="77777777" w:rsidR="00F03979" w:rsidRDefault="00000000">
            <w:r>
              <w:rPr>
                <w:color w:val="333333"/>
                <w:sz w:val="20"/>
                <w:szCs w:val="20"/>
              </w:rPr>
              <w:t>$3,800–$19,200</w:t>
            </w:r>
          </w:p>
        </w:tc>
      </w:tr>
      <w:tr w:rsidR="00F03979" w14:paraId="4AC656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4B03" w14:textId="77777777" w:rsidR="00F03979" w:rsidRDefault="00000000">
            <w:r>
              <w:rPr>
                <w:color w:val="333333"/>
                <w:sz w:val="20"/>
                <w:szCs w:val="20"/>
              </w:rPr>
              <w:t>500 members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88B8E" w14:textId="77777777" w:rsidR="00F03979" w:rsidRDefault="00000000">
            <w:r>
              <w:rPr>
                <w:color w:val="333333"/>
                <w:sz w:val="20"/>
                <w:szCs w:val="20"/>
              </w:rPr>
              <w:t>$180–$420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9BC7" w14:textId="77777777" w:rsidR="00F03979" w:rsidRDefault="00000000">
            <w:r>
              <w:rPr>
                <w:color w:val="333333"/>
                <w:sz w:val="20"/>
                <w:szCs w:val="20"/>
              </w:rPr>
              <w:t>$800–$2,200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B0F4A" w14:textId="77777777" w:rsidR="00F03979" w:rsidRDefault="00000000">
            <w:r>
              <w:rPr>
                <w:color w:val="333333"/>
                <w:sz w:val="20"/>
                <w:szCs w:val="20"/>
              </w:rPr>
              <w:t>$3,200–$18,600</w:t>
            </w:r>
          </w:p>
        </w:tc>
      </w:tr>
      <w:tr w:rsidR="00F03979" w14:paraId="211918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5E71929" w14:textId="77777777" w:rsidR="00F03979" w:rsidRDefault="00000000">
            <w:r>
              <w:rPr>
                <w:color w:val="333333"/>
                <w:sz w:val="20"/>
                <w:szCs w:val="20"/>
              </w:rPr>
              <w:t>1,000 members</w:t>
            </w:r>
          </w:p>
        </w:tc>
        <w:tc>
          <w:tcPr>
            <w:tcW w:w="28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DBCF9CE" w14:textId="77777777" w:rsidR="00F03979" w:rsidRDefault="00000000">
            <w:r>
              <w:rPr>
                <w:color w:val="333333"/>
                <w:sz w:val="20"/>
                <w:szCs w:val="20"/>
              </w:rPr>
              <w:t>$140–$340</w:t>
            </w:r>
          </w:p>
        </w:tc>
        <w:tc>
          <w:tcPr>
            <w:tcW w:w="28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5C851B7" w14:textId="77777777" w:rsidR="00F03979" w:rsidRDefault="00000000">
            <w:r>
              <w:rPr>
                <w:color w:val="333333"/>
                <w:sz w:val="20"/>
                <w:szCs w:val="20"/>
              </w:rPr>
              <w:t>$600–$1,900</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0F3B951" w14:textId="77777777" w:rsidR="00F03979" w:rsidRDefault="00000000">
            <w:r>
              <w:rPr>
                <w:color w:val="333333"/>
                <w:sz w:val="20"/>
                <w:szCs w:val="20"/>
              </w:rPr>
              <w:t>$2,900–$18,300</w:t>
            </w:r>
          </w:p>
        </w:tc>
      </w:tr>
      <w:tr w:rsidR="00F03979" w14:paraId="408CD9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EF982" w14:textId="77777777" w:rsidR="00F03979" w:rsidRDefault="00000000">
            <w:r>
              <w:rPr>
                <w:color w:val="333333"/>
                <w:sz w:val="20"/>
                <w:szCs w:val="20"/>
              </w:rPr>
              <w:t>5,000 members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6E7EC" w14:textId="77777777" w:rsidR="00F03979" w:rsidRDefault="00000000">
            <w:r>
              <w:rPr>
                <w:color w:val="333333"/>
                <w:sz w:val="20"/>
                <w:szCs w:val="20"/>
              </w:rPr>
              <w:t>$90–$240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C3C46" w14:textId="77777777" w:rsidR="00F03979" w:rsidRDefault="00000000">
            <w:r>
              <w:rPr>
                <w:color w:val="333333"/>
                <w:sz w:val="20"/>
                <w:szCs w:val="20"/>
              </w:rPr>
              <w:t>$400–$1,600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126DE" w14:textId="77777777" w:rsidR="00F03979" w:rsidRDefault="00000000">
            <w:r>
              <w:rPr>
                <w:color w:val="333333"/>
                <w:sz w:val="20"/>
                <w:szCs w:val="20"/>
              </w:rPr>
              <w:t>$2,700–$18,100</w:t>
            </w:r>
          </w:p>
        </w:tc>
      </w:tr>
      <w:tr w:rsidR="00F03979" w14:paraId="0A6771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68209CC" w14:textId="77777777" w:rsidR="00F03979" w:rsidRDefault="00000000">
            <w:r>
              <w:rPr>
                <w:color w:val="333333"/>
                <w:sz w:val="20"/>
                <w:szCs w:val="20"/>
              </w:rPr>
              <w:t>10,000 members</w:t>
            </w:r>
          </w:p>
        </w:tc>
        <w:tc>
          <w:tcPr>
            <w:tcW w:w="28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5BEDDAD" w14:textId="77777777" w:rsidR="00F03979" w:rsidRDefault="00000000">
            <w:r>
              <w:rPr>
                <w:color w:val="333333"/>
                <w:sz w:val="20"/>
                <w:szCs w:val="20"/>
              </w:rPr>
              <w:t>$70–$200</w:t>
            </w:r>
          </w:p>
        </w:tc>
        <w:tc>
          <w:tcPr>
            <w:tcW w:w="28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64B3EBE" w14:textId="77777777" w:rsidR="00F03979" w:rsidRDefault="00000000">
            <w:r>
              <w:rPr>
                <w:color w:val="333333"/>
                <w:sz w:val="20"/>
                <w:szCs w:val="20"/>
              </w:rPr>
              <w:t>$350–$1,500</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FB2D377" w14:textId="77777777" w:rsidR="00F03979" w:rsidRDefault="00000000">
            <w:r>
              <w:rPr>
                <w:color w:val="333333"/>
                <w:sz w:val="20"/>
                <w:szCs w:val="20"/>
              </w:rPr>
              <w:t>$2,650–$18,050</w:t>
            </w:r>
          </w:p>
        </w:tc>
      </w:tr>
    </w:tbl>
    <w:p w14:paraId="3D71336A" w14:textId="77777777" w:rsidR="00F03979" w:rsidRDefault="00F03979"/>
    <w:p w14:paraId="3ACE510F" w14:textId="178E67BD" w:rsidR="00F03979" w:rsidRDefault="00000000">
      <w:pPr>
        <w:spacing w:before="60" w:after="100"/>
      </w:pPr>
      <w:r>
        <w:rPr>
          <w:color w:val="666666"/>
        </w:rPr>
        <w:t xml:space="preserve">All figures assume: $80,000 annual income, 15% credit </w:t>
      </w:r>
      <w:r w:rsidR="00F50100">
        <w:rPr>
          <w:color w:val="666666"/>
        </w:rPr>
        <w:t>utilization</w:t>
      </w:r>
      <w:r>
        <w:rPr>
          <w:color w:val="666666"/>
        </w:rPr>
        <w:t>, DAI on Optimism rail, TLSNotary attestation, Colony governance, custom on-chain credit pool, Privy + Stripe wallet abstraction. Traditional stack assumes 20% platform fee, 2.9% payment processing, 22% credit interest.</w:t>
      </w:r>
    </w:p>
    <w:p w14:paraId="18088757" w14:textId="77777777" w:rsidR="00F03979" w:rsidRDefault="00000000">
      <w:pPr>
        <w:pStyle w:val="Heading2"/>
      </w:pPr>
      <w:r>
        <w:t>8.2 Pool solvency requirements</w:t>
      </w:r>
    </w:p>
    <w:p w14:paraId="1A3CD4BF" w14:textId="0E1B08CA" w:rsidR="00F03979" w:rsidRDefault="00000000">
      <w:pPr>
        <w:spacing w:before="60" w:after="100"/>
      </w:pPr>
      <w:r>
        <w:rPr>
          <w:color w:val="222222"/>
        </w:rPr>
        <w:t>At 3% annual default rate with 55% recovery over 2 years, the minimum effective credit rate required for pool solvency is approximately 2.8–3.2%. The target effective rate of 3–7% provides a meaningful buffer. The pool is modelled as solvent at all membership levels above 200 members under these assumptions. Stress testing at 8% default rate (severe downturn scenario) requires a minimum effective rate of 6.5%</w:t>
      </w:r>
      <w:r w:rsidR="00F50100">
        <w:rPr>
          <w:color w:val="222222"/>
        </w:rPr>
        <w:t>, which is</w:t>
      </w:r>
      <w:r>
        <w:rPr>
          <w:color w:val="222222"/>
        </w:rPr>
        <w:t xml:space="preserve"> still below conventional credit card rates.</w:t>
      </w:r>
    </w:p>
    <w:p w14:paraId="2ABA6972" w14:textId="77777777" w:rsidR="00F03979" w:rsidRDefault="00000000">
      <w:pPr>
        <w:pStyle w:val="Heading2"/>
      </w:pPr>
      <w:r>
        <w:t>8.3 Funding requirements</w:t>
      </w:r>
    </w:p>
    <w:p w14:paraId="4C6C0DE2" w14:textId="77777777" w:rsidR="00F03979" w:rsidRDefault="00000000">
      <w:pPr>
        <w:spacing w:before="60" w:after="100"/>
      </w:pPr>
      <w:r>
        <w:rPr>
          <w:color w:val="222222"/>
        </w:rPr>
        <w:t>Stage 1 capital requirements are modest. The primary costs are smart contract development and audit ($40,000–$100,000), legal and cooperative formation ($15,000–$30,000), initial pool seeding (ideally $200,000–$500,000 from founding member deposits and mission-aligned grants), and platform development ($50,000–$150,000 for mobile and web interfaces). Total Stage 1 capital requirement: $305,000–$780,000.</w:t>
      </w:r>
    </w:p>
    <w:p w14:paraId="685D7E47" w14:textId="77777777" w:rsidR="00F03979" w:rsidRDefault="00000000">
      <w:pPr>
        <w:spacing w:before="60" w:after="100"/>
      </w:pPr>
      <w:r>
        <w:rPr>
          <w:color w:val="222222"/>
        </w:rPr>
        <w:t>This funding profile is appropriate for cooperative formation grants, credit union development funds, and community development financial institution (CDFI) partnerships — all of which are available to cooperative financial institutions and do not require surrendering equity or governance rights to investors.</w:t>
      </w:r>
    </w:p>
    <w:p w14:paraId="65C24833" w14:textId="77777777" w:rsidR="00F03979" w:rsidRDefault="00000000">
      <w:r>
        <w:br w:type="page"/>
      </w:r>
    </w:p>
    <w:p w14:paraId="6958C7A2" w14:textId="77777777" w:rsidR="00F03979" w:rsidRDefault="00000000">
      <w:pPr>
        <w:pStyle w:val="Heading1"/>
        <w:pBdr>
          <w:bottom w:val="single" w:sz="4" w:space="4" w:color="1D5C8C"/>
        </w:pBdr>
      </w:pPr>
      <w:r>
        <w:lastRenderedPageBreak/>
        <w:t>9. Founding Principles</w:t>
      </w:r>
    </w:p>
    <w:p w14:paraId="0DEF7C67" w14:textId="77777777" w:rsidR="00F03979" w:rsidRDefault="00000000">
      <w:pPr>
        <w:spacing w:before="60" w:after="100"/>
      </w:pPr>
      <w:r>
        <w:rPr>
          <w:color w:val="222222"/>
        </w:rPr>
        <w:t>Dotcommon commits to the following principles as constitutional constraints on its governance and development, not merely as aspirational values:</w:t>
      </w:r>
    </w:p>
    <w:p w14:paraId="37843A22" w14:textId="77777777" w:rsidR="00F03979" w:rsidRDefault="00F03979"/>
    <w:p w14:paraId="66B70576" w14:textId="77777777" w:rsidR="00F03979" w:rsidRDefault="00000000">
      <w:pPr>
        <w:pStyle w:val="ListParagraph"/>
        <w:numPr>
          <w:ilvl w:val="0"/>
          <w:numId w:val="2"/>
        </w:numPr>
        <w:spacing w:before="40" w:after="40"/>
      </w:pPr>
      <w:r>
        <w:rPr>
          <w:color w:val="222222"/>
        </w:rPr>
        <w:t>One member, one vote on foundational governance decisions. Reputation weighting applies to operational and parameter decisions; constitutional changes require simple member majority.</w:t>
      </w:r>
    </w:p>
    <w:p w14:paraId="16597B47" w14:textId="77777777" w:rsidR="00F03979" w:rsidRDefault="00000000">
      <w:pPr>
        <w:pStyle w:val="ListParagraph"/>
        <w:numPr>
          <w:ilvl w:val="0"/>
          <w:numId w:val="2"/>
        </w:numPr>
        <w:spacing w:before="40" w:after="40"/>
      </w:pPr>
      <w:r>
        <w:rPr>
          <w:color w:val="222222"/>
        </w:rPr>
        <w:t>No external equity investors. Capital is raised through member deposits, cooperative loans, and mission-aligned grants only. No instrument that grants governance rights or profit participation to non-members will be issued.</w:t>
      </w:r>
    </w:p>
    <w:p w14:paraId="01DB0C7E" w14:textId="77777777" w:rsidR="00F03979" w:rsidRDefault="00000000">
      <w:pPr>
        <w:pStyle w:val="ListParagraph"/>
        <w:numPr>
          <w:ilvl w:val="0"/>
          <w:numId w:val="2"/>
        </w:numPr>
        <w:spacing w:before="40" w:after="40"/>
      </w:pPr>
      <w:r>
        <w:rPr>
          <w:color w:val="222222"/>
        </w:rPr>
        <w:t>Surplus is returned to members. Net operating surplus above the reserve requirement is distributed to members in proportion to their platform activity, not their capital contribution.</w:t>
      </w:r>
    </w:p>
    <w:p w14:paraId="4B7AEC01" w14:textId="5CEE903F" w:rsidR="00F03979" w:rsidRDefault="00000000">
      <w:pPr>
        <w:pStyle w:val="ListParagraph"/>
        <w:numPr>
          <w:ilvl w:val="0"/>
          <w:numId w:val="2"/>
        </w:numPr>
        <w:spacing w:before="40" w:after="40"/>
      </w:pPr>
      <w:r>
        <w:rPr>
          <w:color w:val="222222"/>
        </w:rPr>
        <w:t xml:space="preserve">Commercial dependencies are </w:t>
      </w:r>
      <w:r w:rsidR="00F50100">
        <w:rPr>
          <w:color w:val="222222"/>
        </w:rPr>
        <w:t>minimized</w:t>
      </w:r>
      <w:r>
        <w:rPr>
          <w:color w:val="222222"/>
        </w:rPr>
        <w:t>. Every component of the technology stack is evaluated for commercial dependency risk. Where a commons alternative exists or is maturing, the roadmap commits to migration.</w:t>
      </w:r>
    </w:p>
    <w:p w14:paraId="45BCBEFA" w14:textId="77777777" w:rsidR="00F03979" w:rsidRDefault="00000000">
      <w:pPr>
        <w:pStyle w:val="ListParagraph"/>
        <w:numPr>
          <w:ilvl w:val="0"/>
          <w:numId w:val="2"/>
        </w:numPr>
        <w:spacing w:before="40" w:after="40"/>
      </w:pPr>
      <w:r>
        <w:rPr>
          <w:color w:val="222222"/>
        </w:rPr>
        <w:t xml:space="preserve">Transparency by default. All treasury transactions, governance votes, credit pool parameters, and operating costs are publicly visible </w:t>
      </w:r>
      <w:proofErr w:type="gramStart"/>
      <w:r>
        <w:rPr>
          <w:color w:val="222222"/>
        </w:rPr>
        <w:t>on-chain</w:t>
      </w:r>
      <w:proofErr w:type="gramEnd"/>
      <w:r>
        <w:rPr>
          <w:color w:val="222222"/>
        </w:rPr>
        <w:t>. Financial statements are published quarterly.</w:t>
      </w:r>
    </w:p>
    <w:p w14:paraId="74F75AC7" w14:textId="77777777" w:rsidR="00F03979" w:rsidRDefault="00000000">
      <w:pPr>
        <w:pStyle w:val="ListParagraph"/>
        <w:numPr>
          <w:ilvl w:val="0"/>
          <w:numId w:val="2"/>
        </w:numPr>
        <w:spacing w:before="40" w:after="40"/>
      </w:pPr>
      <w:r>
        <w:rPr>
          <w:color w:val="222222"/>
        </w:rPr>
        <w:t>Members own their data and reputation. No member’s reputation score, income attestation, or platform history is owned by the cooperative. Members can export and port their data at any time.</w:t>
      </w:r>
    </w:p>
    <w:p w14:paraId="50627BF4" w14:textId="77777777" w:rsidR="00F03979" w:rsidRDefault="00F03979"/>
    <w:p w14:paraId="6D3A1CA0" w14:textId="77777777" w:rsidR="00F03979" w:rsidRDefault="00F03979"/>
    <w:p w14:paraId="69690FEC" w14:textId="77777777" w:rsidR="00F03979" w:rsidRDefault="00000000">
      <w:pPr>
        <w:pBdr>
          <w:top w:val="single" w:sz="4" w:space="8" w:color="1D5C8C"/>
        </w:pBdr>
        <w:spacing w:before="240" w:after="80"/>
      </w:pPr>
      <w:r>
        <w:rPr>
          <w:color w:val="666666"/>
          <w:sz w:val="18"/>
          <w:szCs w:val="18"/>
        </w:rPr>
        <w:t>Dotcommon — Confidential Draft, March 2026</w:t>
      </w:r>
    </w:p>
    <w:p w14:paraId="7E94BCDA" w14:textId="77777777" w:rsidR="00F03979" w:rsidRDefault="00000000">
      <w:r>
        <w:rPr>
          <w:color w:val="666666"/>
          <w:sz w:val="18"/>
          <w:szCs w:val="18"/>
        </w:rPr>
        <w:t>This document is prepared for discussion purposes only and does not constitute a solicitation of investment or a legal offer of any kind.</w:t>
      </w:r>
    </w:p>
    <w:sectPr w:rsidR="00F03979" w:rsidSect="00F50100">
      <w:foot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89FEC" w14:textId="77777777" w:rsidR="00AB7BBF" w:rsidRDefault="00AB7BBF">
      <w:r>
        <w:separator/>
      </w:r>
    </w:p>
  </w:endnote>
  <w:endnote w:type="continuationSeparator" w:id="0">
    <w:p w14:paraId="6FB819E3" w14:textId="77777777" w:rsidR="00AB7BBF" w:rsidRDefault="00AB7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63F02" w14:textId="77777777" w:rsidR="00F03979" w:rsidRDefault="00000000">
    <w:pPr>
      <w:pBdr>
        <w:top w:val="single" w:sz="4" w:space="4" w:color="1D5C8C"/>
      </w:pBdr>
      <w:tabs>
        <w:tab w:val="right" w:pos="9026"/>
      </w:tabs>
      <w:spacing w:before="120"/>
    </w:pPr>
    <w:r>
      <w:rPr>
        <w:color w:val="666666"/>
        <w:sz w:val="18"/>
        <w:szCs w:val="18"/>
      </w:rPr>
      <w:t>Dotcommon Cooperative — Business Plan</w:t>
    </w:r>
    <w:r>
      <w:rPr>
        <w:sz w:val="18"/>
        <w:szCs w:val="18"/>
      </w:rPr>
      <w:tab/>
    </w:r>
    <w:r>
      <w:rPr>
        <w:color w:val="666666"/>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0D46C" w14:textId="77777777" w:rsidR="00AB7BBF" w:rsidRDefault="00AB7BBF">
      <w:r>
        <w:separator/>
      </w:r>
    </w:p>
  </w:footnote>
  <w:footnote w:type="continuationSeparator" w:id="0">
    <w:p w14:paraId="20B4AE11" w14:textId="77777777" w:rsidR="00AB7BBF" w:rsidRDefault="00AB7B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304B8"/>
    <w:multiLevelType w:val="hybridMultilevel"/>
    <w:tmpl w:val="3A82E50C"/>
    <w:lvl w:ilvl="0" w:tplc="A484CF54">
      <w:start w:val="1"/>
      <w:numFmt w:val="bullet"/>
      <w:lvlText w:val="●"/>
      <w:lvlJc w:val="left"/>
      <w:pPr>
        <w:ind w:left="720" w:hanging="360"/>
      </w:pPr>
    </w:lvl>
    <w:lvl w:ilvl="1" w:tplc="7ADCAEC0">
      <w:start w:val="1"/>
      <w:numFmt w:val="bullet"/>
      <w:lvlText w:val="○"/>
      <w:lvlJc w:val="left"/>
      <w:pPr>
        <w:ind w:left="1440" w:hanging="360"/>
      </w:pPr>
    </w:lvl>
    <w:lvl w:ilvl="2" w:tplc="9A380632">
      <w:start w:val="1"/>
      <w:numFmt w:val="bullet"/>
      <w:lvlText w:val="■"/>
      <w:lvlJc w:val="left"/>
      <w:pPr>
        <w:ind w:left="2160" w:hanging="360"/>
      </w:pPr>
    </w:lvl>
    <w:lvl w:ilvl="3" w:tplc="0312100C">
      <w:start w:val="1"/>
      <w:numFmt w:val="bullet"/>
      <w:lvlText w:val="●"/>
      <w:lvlJc w:val="left"/>
      <w:pPr>
        <w:ind w:left="2880" w:hanging="360"/>
      </w:pPr>
    </w:lvl>
    <w:lvl w:ilvl="4" w:tplc="056ECD28">
      <w:start w:val="1"/>
      <w:numFmt w:val="bullet"/>
      <w:lvlText w:val="○"/>
      <w:lvlJc w:val="left"/>
      <w:pPr>
        <w:ind w:left="3600" w:hanging="360"/>
      </w:pPr>
    </w:lvl>
    <w:lvl w:ilvl="5" w:tplc="26B090A2">
      <w:start w:val="1"/>
      <w:numFmt w:val="bullet"/>
      <w:lvlText w:val="■"/>
      <w:lvlJc w:val="left"/>
      <w:pPr>
        <w:ind w:left="4320" w:hanging="360"/>
      </w:pPr>
    </w:lvl>
    <w:lvl w:ilvl="6" w:tplc="14902CC4">
      <w:start w:val="1"/>
      <w:numFmt w:val="bullet"/>
      <w:lvlText w:val="●"/>
      <w:lvlJc w:val="left"/>
      <w:pPr>
        <w:ind w:left="5040" w:hanging="360"/>
      </w:pPr>
    </w:lvl>
    <w:lvl w:ilvl="7" w:tplc="DAB6288E">
      <w:start w:val="1"/>
      <w:numFmt w:val="bullet"/>
      <w:lvlText w:val="●"/>
      <w:lvlJc w:val="left"/>
      <w:pPr>
        <w:ind w:left="5760" w:hanging="360"/>
      </w:pPr>
    </w:lvl>
    <w:lvl w:ilvl="8" w:tplc="383A8B22">
      <w:start w:val="1"/>
      <w:numFmt w:val="bullet"/>
      <w:lvlText w:val="●"/>
      <w:lvlJc w:val="left"/>
      <w:pPr>
        <w:ind w:left="6480" w:hanging="360"/>
      </w:pPr>
    </w:lvl>
  </w:abstractNum>
  <w:abstractNum w:abstractNumId="1" w15:restartNumberingAfterBreak="0">
    <w:nsid w:val="5E761600"/>
    <w:multiLevelType w:val="hybridMultilevel"/>
    <w:tmpl w:val="73C81E92"/>
    <w:lvl w:ilvl="0" w:tplc="23A86886">
      <w:start w:val="1"/>
      <w:numFmt w:val="bullet"/>
      <w:lvlText w:val="•"/>
      <w:lvlJc w:val="left"/>
      <w:pPr>
        <w:ind w:left="720" w:hanging="360"/>
      </w:pPr>
    </w:lvl>
    <w:lvl w:ilvl="1" w:tplc="47E8E482">
      <w:start w:val="1"/>
      <w:numFmt w:val="bullet"/>
      <w:lvlText w:val="◦"/>
      <w:lvlJc w:val="left"/>
      <w:pPr>
        <w:ind w:left="1080" w:hanging="360"/>
      </w:pPr>
    </w:lvl>
    <w:lvl w:ilvl="2" w:tplc="C9F2D1C8">
      <w:numFmt w:val="decimal"/>
      <w:lvlText w:val=""/>
      <w:lvlJc w:val="left"/>
    </w:lvl>
    <w:lvl w:ilvl="3" w:tplc="5BC4EF5E">
      <w:numFmt w:val="decimal"/>
      <w:lvlText w:val=""/>
      <w:lvlJc w:val="left"/>
    </w:lvl>
    <w:lvl w:ilvl="4" w:tplc="8FFC5CF0">
      <w:numFmt w:val="decimal"/>
      <w:lvlText w:val=""/>
      <w:lvlJc w:val="left"/>
    </w:lvl>
    <w:lvl w:ilvl="5" w:tplc="00D065C2">
      <w:numFmt w:val="decimal"/>
      <w:lvlText w:val=""/>
      <w:lvlJc w:val="left"/>
    </w:lvl>
    <w:lvl w:ilvl="6" w:tplc="1E8AF902">
      <w:numFmt w:val="decimal"/>
      <w:lvlText w:val=""/>
      <w:lvlJc w:val="left"/>
    </w:lvl>
    <w:lvl w:ilvl="7" w:tplc="8286CE56">
      <w:numFmt w:val="decimal"/>
      <w:lvlText w:val=""/>
      <w:lvlJc w:val="left"/>
    </w:lvl>
    <w:lvl w:ilvl="8" w:tplc="3B34C902">
      <w:numFmt w:val="decimal"/>
      <w:lvlText w:val=""/>
      <w:lvlJc w:val="left"/>
    </w:lvl>
  </w:abstractNum>
  <w:num w:numId="1" w16cid:durableId="391856650">
    <w:abstractNumId w:val="0"/>
    <w:lvlOverride w:ilvl="0">
      <w:startOverride w:val="1"/>
    </w:lvlOverride>
  </w:num>
  <w:num w:numId="2" w16cid:durableId="10748639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979"/>
    <w:rsid w:val="00132E54"/>
    <w:rsid w:val="005811F3"/>
    <w:rsid w:val="007E1688"/>
    <w:rsid w:val="00AB7BBF"/>
    <w:rsid w:val="00F03979"/>
    <w:rsid w:val="00F50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0F644"/>
  <w15:docId w15:val="{5D16EB97-E130-411F-A7DD-4CCFA2D6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D5C8C"/>
      <w:sz w:val="32"/>
      <w:szCs w:val="32"/>
    </w:rPr>
  </w:style>
  <w:style w:type="paragraph" w:styleId="Heading2">
    <w:name w:val="heading 2"/>
    <w:uiPriority w:val="9"/>
    <w:unhideWhenUsed/>
    <w:qFormat/>
    <w:pPr>
      <w:spacing w:before="280" w:after="80"/>
      <w:outlineLvl w:val="1"/>
    </w:pPr>
    <w:rPr>
      <w:b/>
      <w:bCs/>
      <w:color w:val="0F6E5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3759</Words>
  <Characters>21427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Lipton</cp:lastModifiedBy>
  <cp:revision>2</cp:revision>
  <dcterms:created xsi:type="dcterms:W3CDTF">2026-03-14T22:45:00Z</dcterms:created>
  <dcterms:modified xsi:type="dcterms:W3CDTF">2026-03-14T22:45:00Z</dcterms:modified>
</cp:coreProperties>
</file>