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3E66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3369D3E7" w14:textId="77777777" w:rsidR="002C2F7A" w:rsidRPr="002C2F7A" w:rsidRDefault="002C2F7A" w:rsidP="002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This paper challenges conventional spread-based valuation (like Z-spread/OAS) for credit-risky bonds and instead advocates a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survival-based modeling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framework using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Fractional Recovery of Par (FRP)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. It introduces robust and consistent valuation, relative value, and risk measures that hold even in distressed markets — ideal for your context of computing clean 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and Theta.</w:t>
      </w:r>
    </w:p>
    <w:p w14:paraId="7DF320B4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51E09012">
          <v:rect id="_x0000_i1025" style="width:0;height:1.5pt" o:hralign="center" o:hrstd="t" o:hr="t" fillcolor="#a0a0a0" stroked="f"/>
        </w:pict>
      </w:r>
    </w:p>
    <w:p w14:paraId="733A86C8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Breakdown of Key Concepts</w:t>
      </w:r>
    </w:p>
    <w:p w14:paraId="2751AE5A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Problems with Conventional Spread Measures</w:t>
      </w:r>
    </w:p>
    <w:p w14:paraId="039A8ABD" w14:textId="77777777" w:rsidR="002C2F7A" w:rsidRPr="002C2F7A" w:rsidRDefault="002C2F7A" w:rsidP="002C2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Conventional Valuation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assumes:</w:t>
      </w:r>
    </w:p>
    <w:p w14:paraId="5AC9388B" w14:textId="77777777" w:rsidR="002C2F7A" w:rsidRPr="002C2F7A" w:rsidRDefault="002C2F7A" w:rsidP="002C2F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PV=∑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CF(</w:t>
      </w:r>
      <w:proofErr w:type="spellStart"/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)PV = \sum CF(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 \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)PV</w:t>
      </w:r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=∑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CF(</w:t>
      </w:r>
      <w:proofErr w:type="spellStart"/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​) </w:t>
      </w:r>
    </w:p>
    <w:p w14:paraId="748B1C10" w14:textId="77777777" w:rsidR="002C2F7A" w:rsidRPr="002C2F7A" w:rsidRDefault="002C2F7A" w:rsidP="002C2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where 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)Z</w:t>
      </w:r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​) is a risky discount factor based on a “risky” yield curve (Z-spread above base curve).</w:t>
      </w:r>
    </w:p>
    <w:p w14:paraId="17C07D6A" w14:textId="77777777" w:rsidR="002C2F7A" w:rsidRPr="002C2F7A" w:rsidRDefault="002C2F7A" w:rsidP="002C2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 for credit-risky/distressed bonds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because:</w:t>
      </w:r>
    </w:p>
    <w:p w14:paraId="4E97F8B0" w14:textId="77777777" w:rsidR="002C2F7A" w:rsidRPr="002C2F7A" w:rsidRDefault="002C2F7A" w:rsidP="002C2F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Cash flows are </w:t>
      </w:r>
      <w:r w:rsidRPr="002C2F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fixed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(due to default risk).</w:t>
      </w:r>
    </w:p>
    <w:p w14:paraId="372C6615" w14:textId="77777777" w:rsidR="002C2F7A" w:rsidRPr="002C2F7A" w:rsidRDefault="002C2F7A" w:rsidP="002C2F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Does </w:t>
      </w:r>
      <w:r w:rsidRPr="002C2F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account for recoveries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C2F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acceleration of debt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550DEB" w14:textId="77777777" w:rsidR="002C2F7A" w:rsidRDefault="002C2F7A" w:rsidP="002C2F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Z-spread term structures become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misleading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, especially during distress (e.g., downward sloping due to price trading "to recovery").</w:t>
      </w:r>
    </w:p>
    <w:p w14:paraId="2CDD8CA3" w14:textId="77777777" w:rsidR="002C2F7A" w:rsidRDefault="002C2F7A" w:rsidP="002C2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848F06" w14:textId="05E5C345" w:rsidR="002C2F7A" w:rsidRDefault="002C2F7A" w:rsidP="002C2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5A80EB6E" wp14:editId="13CAC470">
            <wp:extent cx="5943600" cy="2975610"/>
            <wp:effectExtent l="0" t="0" r="0" b="0"/>
            <wp:docPr id="40525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2D0F" w14:textId="140100C3" w:rsidR="002C2F7A" w:rsidRPr="002C2F7A" w:rsidRDefault="002C2F7A" w:rsidP="002C2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0587069F" wp14:editId="62B298E0">
            <wp:extent cx="5943600" cy="3919220"/>
            <wp:effectExtent l="0" t="0" r="0" b="5080"/>
            <wp:docPr id="90901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18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C57E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2F03EFF0">
          <v:rect id="_x0000_i1026" style="width:0;height:1.5pt" o:hralign="center" o:hrstd="t" o:hr="t" fillcolor="#a0a0a0" stroked="f"/>
        </w:pict>
      </w:r>
    </w:p>
    <w:p w14:paraId="42BC3370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2F7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🛡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Survival-Based Valuation (Core of the Paper)</w:t>
      </w:r>
    </w:p>
    <w:p w14:paraId="490E202A" w14:textId="77777777" w:rsidR="002C2F7A" w:rsidRPr="002C2F7A" w:rsidRDefault="002C2F7A" w:rsidP="002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Instead of discounting promised cash flows, this model computes the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present value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accounting for:</w:t>
      </w:r>
    </w:p>
    <w:p w14:paraId="3DF4B8E2" w14:textId="77777777" w:rsidR="002C2F7A" w:rsidRPr="002C2F7A" w:rsidRDefault="002C2F7A" w:rsidP="002C2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Probability of survival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until each payment</w:t>
      </w:r>
    </w:p>
    <w:p w14:paraId="706596D5" w14:textId="77777777" w:rsidR="002C2F7A" w:rsidRPr="002C2F7A" w:rsidRDefault="002C2F7A" w:rsidP="002C2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Probability of default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between intervals</w:t>
      </w:r>
    </w:p>
    <w:p w14:paraId="04585654" w14:textId="77777777" w:rsidR="002C2F7A" w:rsidRPr="002C2F7A" w:rsidRDefault="002C2F7A" w:rsidP="002C2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amount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(fraction of par)</w:t>
      </w:r>
    </w:p>
    <w:p w14:paraId="4BF48C30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Formula:</w:t>
      </w:r>
    </w:p>
    <w:p w14:paraId="7FB2E5B3" w14:textId="77777777" w:rsidR="002C2F7A" w:rsidRPr="002C2F7A" w:rsidRDefault="002C2F7A" w:rsidP="002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For a bond with coupon </w:t>
      </w:r>
      <w:r w:rsidRPr="002C2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, maturity </w:t>
      </w:r>
      <w:r w:rsidRPr="002C2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, and principal </w:t>
      </w:r>
      <w:r w:rsidRPr="002C2F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23032F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PV=∑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=1N[Q(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Cf]+∑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=1N[D(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F]PV = \sum_{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=1}^{N} [Q(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 \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 \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\frac{C}{f}] + \sum_{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=1}^{N} [D(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 \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 \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R \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F]PV=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=1∑N​[Q(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fC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​]+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=1∑N​[D(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​)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F] </w:t>
      </w:r>
    </w:p>
    <w:p w14:paraId="133DDEFE" w14:textId="77777777" w:rsidR="002C2F7A" w:rsidRPr="002C2F7A" w:rsidRDefault="002C2F7A" w:rsidP="002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47A08399" w14:textId="77777777" w:rsidR="002C2F7A" w:rsidRPr="002C2F7A" w:rsidRDefault="002C2F7A" w:rsidP="002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Q(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)Q(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)Q</w:t>
      </w:r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​): Survival probability to 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tit_iti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14:paraId="73E56FCD" w14:textId="77777777" w:rsidR="002C2F7A" w:rsidRPr="002C2F7A" w:rsidRDefault="002C2F7A" w:rsidP="002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)D(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)D</w:t>
      </w:r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​): Default probability in period [ti−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1,ti</w:t>
      </w:r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][t_{i-1}, 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][</w:t>
      </w:r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ti−1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​,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</w:t>
      </w:r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43FF08E7" w14:textId="77777777" w:rsidR="002C2F7A" w:rsidRPr="002C2F7A" w:rsidRDefault="002C2F7A" w:rsidP="002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)Z(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t_</w:t>
      </w:r>
      <w:proofErr w:type="gram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)Z</w:t>
      </w:r>
      <w:proofErr w:type="gram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ti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​): Risk-free discount factor</w:t>
      </w:r>
    </w:p>
    <w:p w14:paraId="2A056275" w14:textId="77777777" w:rsidR="002C2F7A" w:rsidRPr="002C2F7A" w:rsidRDefault="002C2F7A" w:rsidP="002C2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RRR: Recovery rate</w:t>
      </w:r>
    </w:p>
    <w:p w14:paraId="2B9EE27F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45188528">
          <v:rect id="_x0000_i1027" style="width:0;height:1.5pt" o:hralign="center" o:hrstd="t" o:hr="t" fillcolor="#a0a0a0" stroked="f"/>
        </w:pict>
      </w:r>
    </w:p>
    <w:p w14:paraId="0963DA43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⏳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Theta (Passage of Time </w:t>
      </w:r>
      <w:proofErr w:type="spellStart"/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PnL</w:t>
      </w:r>
      <w:proofErr w:type="spellEnd"/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 Implications</w:t>
      </w:r>
    </w:p>
    <w:p w14:paraId="56B8F1B0" w14:textId="77777777" w:rsidR="002C2F7A" w:rsidRPr="002C2F7A" w:rsidRDefault="002C2F7A" w:rsidP="002C2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In survival-based models,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arises from the time decay of both survival probabilities and discount factors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1CD35E" w14:textId="77777777" w:rsidR="002C2F7A" w:rsidRPr="002C2F7A" w:rsidRDefault="002C2F7A" w:rsidP="002C2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Since prices reflect expected values of uncertain cash flows,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passage of time shortens the horizon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over which survival is measured → impacts both survival probabilities and discounting.</w:t>
      </w:r>
    </w:p>
    <w:p w14:paraId="3CE57C3D" w14:textId="77777777" w:rsidR="002C2F7A" w:rsidRPr="002C2F7A" w:rsidRDefault="002C2F7A" w:rsidP="002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For distressed bonds:</w:t>
      </w:r>
    </w:p>
    <w:p w14:paraId="4ADC07C0" w14:textId="77777777" w:rsidR="002C2F7A" w:rsidRPr="002C2F7A" w:rsidRDefault="002C2F7A" w:rsidP="002C2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Much of the value is from the recovery assumption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22378C" w14:textId="77777777" w:rsidR="002C2F7A" w:rsidRPr="002C2F7A" w:rsidRDefault="002C2F7A" w:rsidP="002C2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As time passes,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and less value changes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if default is imminent →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approaches zero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9FE28" w14:textId="77777777" w:rsidR="002C2F7A" w:rsidRPr="002C2F7A" w:rsidRDefault="002C2F7A" w:rsidP="002C2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For non-distressed names, theta is larger due to changing survival probabilities and time decay of risk-free discounting.</w:t>
      </w:r>
    </w:p>
    <w:p w14:paraId="0F580798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58B9277F">
          <v:rect id="_x0000_i1028" style="width:0;height:1.5pt" o:hralign="center" o:hrstd="t" o:hr="t" fillcolor="#a0a0a0" stroked="f"/>
        </w:pict>
      </w:r>
    </w:p>
    <w:p w14:paraId="3F281B80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Assumptions Compared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273"/>
        <w:gridCol w:w="3651"/>
      </w:tblGrid>
      <w:tr w:rsidR="002C2F7A" w:rsidRPr="002C2F7A" w14:paraId="12606EE7" w14:textId="77777777" w:rsidTr="002C2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3C9B5" w14:textId="77777777" w:rsidR="002C2F7A" w:rsidRPr="002C2F7A" w:rsidRDefault="002C2F7A" w:rsidP="002C2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Recovery Method</w:t>
            </w:r>
          </w:p>
        </w:tc>
        <w:tc>
          <w:tcPr>
            <w:tcW w:w="0" w:type="auto"/>
            <w:vAlign w:val="center"/>
            <w:hideMark/>
          </w:tcPr>
          <w:p w14:paraId="0C4DCDD1" w14:textId="77777777" w:rsidR="002C2F7A" w:rsidRPr="002C2F7A" w:rsidRDefault="002C2F7A" w:rsidP="002C2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FDD9316" w14:textId="77777777" w:rsidR="002C2F7A" w:rsidRPr="002C2F7A" w:rsidRDefault="002C2F7A" w:rsidP="002C2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Works for Distressed?</w:t>
            </w:r>
          </w:p>
        </w:tc>
      </w:tr>
      <w:tr w:rsidR="002C2F7A" w:rsidRPr="002C2F7A" w14:paraId="1EF0E3AE" w14:textId="77777777" w:rsidTr="002C2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3CB8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FRT (Treasury)</w:t>
            </w:r>
          </w:p>
        </w:tc>
        <w:tc>
          <w:tcPr>
            <w:tcW w:w="0" w:type="auto"/>
            <w:vAlign w:val="center"/>
            <w:hideMark/>
          </w:tcPr>
          <w:p w14:paraId="30A521CB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of discounted future cashflows</w:t>
            </w:r>
          </w:p>
        </w:tc>
        <w:tc>
          <w:tcPr>
            <w:tcW w:w="0" w:type="auto"/>
            <w:vAlign w:val="center"/>
            <w:hideMark/>
          </w:tcPr>
          <w:p w14:paraId="4A0E3AC1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</w:tr>
      <w:tr w:rsidR="002C2F7A" w:rsidRPr="002C2F7A" w14:paraId="6E054A0B" w14:textId="77777777" w:rsidTr="002C2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B590A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FRMV (Market Value)</w:t>
            </w:r>
          </w:p>
        </w:tc>
        <w:tc>
          <w:tcPr>
            <w:tcW w:w="0" w:type="auto"/>
            <w:vAlign w:val="center"/>
            <w:hideMark/>
          </w:tcPr>
          <w:p w14:paraId="3D738B68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of pre-default price</w:t>
            </w:r>
          </w:p>
        </w:tc>
        <w:tc>
          <w:tcPr>
            <w:tcW w:w="0" w:type="auto"/>
            <w:vAlign w:val="center"/>
            <w:hideMark/>
          </w:tcPr>
          <w:p w14:paraId="14B7E628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</w:tr>
      <w:tr w:rsidR="002C2F7A" w:rsidRPr="002C2F7A" w14:paraId="38CF19C7" w14:textId="77777777" w:rsidTr="002C2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8D11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FRP (Par)</w:t>
            </w:r>
          </w:p>
        </w:tc>
        <w:tc>
          <w:tcPr>
            <w:tcW w:w="0" w:type="auto"/>
            <w:vAlign w:val="center"/>
            <w:hideMark/>
          </w:tcPr>
          <w:p w14:paraId="1C8EB5CC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 of par (constant)</w:t>
            </w:r>
          </w:p>
        </w:tc>
        <w:tc>
          <w:tcPr>
            <w:tcW w:w="0" w:type="auto"/>
            <w:vAlign w:val="center"/>
            <w:hideMark/>
          </w:tcPr>
          <w:p w14:paraId="29E106D0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Best match with market behavior</w:t>
            </w:r>
          </w:p>
        </w:tc>
      </w:tr>
      <w:tr w:rsidR="002C2F7A" w:rsidRPr="002C2F7A" w14:paraId="4CAEDE89" w14:textId="77777777" w:rsidTr="002C2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B451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ZR (Zero Recovery)</w:t>
            </w:r>
          </w:p>
        </w:tc>
        <w:tc>
          <w:tcPr>
            <w:tcW w:w="0" w:type="auto"/>
            <w:vAlign w:val="center"/>
            <w:hideMark/>
          </w:tcPr>
          <w:p w14:paraId="743E7D23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value post-default</w:t>
            </w:r>
          </w:p>
        </w:tc>
        <w:tc>
          <w:tcPr>
            <w:tcW w:w="0" w:type="auto"/>
            <w:vAlign w:val="center"/>
            <w:hideMark/>
          </w:tcPr>
          <w:p w14:paraId="1C538F58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Only in worst-case</w:t>
            </w:r>
          </w:p>
        </w:tc>
      </w:tr>
    </w:tbl>
    <w:p w14:paraId="6B9C171E" w14:textId="77777777" w:rsidR="002C2F7A" w:rsidRPr="002C2F7A" w:rsidRDefault="002C2F7A" w:rsidP="002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They argue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FRP is most realistic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, especially for pricing CDS and distressed bonds.</w:t>
      </w:r>
    </w:p>
    <w:p w14:paraId="5E2FC292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522D166A">
          <v:rect id="_x0000_i1029" style="width:0;height:1.5pt" o:hralign="center" o:hrstd="t" o:hr="t" fillcolor="#a0a0a0" stroked="f"/>
        </w:pict>
      </w:r>
    </w:p>
    <w:p w14:paraId="694851CC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Estimating Survival Curves: Exponential Splines</w:t>
      </w:r>
    </w:p>
    <w:p w14:paraId="1676FB7E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Method:</w:t>
      </w:r>
    </w:p>
    <w:p w14:paraId="6D9AD854" w14:textId="77777777" w:rsidR="002C2F7A" w:rsidRPr="002C2F7A" w:rsidRDefault="002C2F7A" w:rsidP="002C2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Use exponential spline regression to fit a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survival probability curve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directly from observed bond prices.</w:t>
      </w:r>
    </w:p>
    <w:p w14:paraId="6869FA43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Advantages:</w:t>
      </w:r>
    </w:p>
    <w:p w14:paraId="44B2BDF9" w14:textId="77777777" w:rsidR="002C2F7A" w:rsidRPr="002C2F7A" w:rsidRDefault="002C2F7A" w:rsidP="002C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Flexible, robust</w:t>
      </w:r>
    </w:p>
    <w:p w14:paraId="182EC6F0" w14:textId="77777777" w:rsidR="002C2F7A" w:rsidRPr="002C2F7A" w:rsidRDefault="002C2F7A" w:rsidP="002C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Ensures decreasing survival probability</w:t>
      </w:r>
    </w:p>
    <w:p w14:paraId="5592919E" w14:textId="77777777" w:rsidR="002C2F7A" w:rsidRPr="002C2F7A" w:rsidRDefault="002C2F7A" w:rsidP="002C2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Enforces positive hazard rate</w:t>
      </w:r>
    </w:p>
    <w:p w14:paraId="72E94F95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Used For:</w:t>
      </w:r>
    </w:p>
    <w:p w14:paraId="7B9F0AA0" w14:textId="77777777" w:rsidR="002C2F7A" w:rsidRPr="002C2F7A" w:rsidRDefault="002C2F7A" w:rsidP="002C2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Valuation</w:t>
      </w:r>
    </w:p>
    <w:p w14:paraId="1F6793F0" w14:textId="77777777" w:rsidR="002C2F7A" w:rsidRPr="002C2F7A" w:rsidRDefault="002C2F7A" w:rsidP="002C2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Risk metrics (e.g., hazard rate, par spread)</w:t>
      </w:r>
    </w:p>
    <w:p w14:paraId="63A322BF" w14:textId="77777777" w:rsidR="002C2F7A" w:rsidRPr="002C2F7A" w:rsidRDefault="002C2F7A" w:rsidP="002C2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Constructing credit curves for pricing and comparison</w:t>
      </w:r>
    </w:p>
    <w:p w14:paraId="0478DAF3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26C1D433">
          <v:rect id="_x0000_i1030" style="width:0;height:1.5pt" o:hralign="center" o:hrstd="t" o:hr="t" fillcolor="#a0a0a0" stroked="f"/>
        </w:pict>
      </w:r>
    </w:p>
    <w:p w14:paraId="2B743C6C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📏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Relative Value and Risk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5080"/>
      </w:tblGrid>
      <w:tr w:rsidR="002C2F7A" w:rsidRPr="002C2F7A" w14:paraId="02EBBE0F" w14:textId="77777777" w:rsidTr="002C2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ED227" w14:textId="77777777" w:rsidR="002C2F7A" w:rsidRPr="002C2F7A" w:rsidRDefault="002C2F7A" w:rsidP="002C2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7610F09D" w14:textId="77777777" w:rsidR="002C2F7A" w:rsidRPr="002C2F7A" w:rsidRDefault="002C2F7A" w:rsidP="002C2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2C2F7A" w:rsidRPr="002C2F7A" w14:paraId="77E3E506" w14:textId="77777777" w:rsidTr="002C2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0537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Hazard Rate (Forward ZZ Spread)</w:t>
            </w:r>
          </w:p>
        </w:tc>
        <w:tc>
          <w:tcPr>
            <w:tcW w:w="0" w:type="auto"/>
            <w:vAlign w:val="center"/>
            <w:hideMark/>
          </w:tcPr>
          <w:p w14:paraId="41BFD890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Instantaneous default probability</w:t>
            </w:r>
          </w:p>
        </w:tc>
      </w:tr>
      <w:tr w:rsidR="002C2F7A" w:rsidRPr="002C2F7A" w14:paraId="0E1E5F45" w14:textId="77777777" w:rsidTr="002C2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19C7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 Spread (P-Spread)</w:t>
            </w:r>
          </w:p>
        </w:tc>
        <w:tc>
          <w:tcPr>
            <w:tcW w:w="0" w:type="auto"/>
            <w:vAlign w:val="center"/>
            <w:hideMark/>
          </w:tcPr>
          <w:p w14:paraId="3CA7D836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Spread over base curve that makes bond price at par</w:t>
            </w:r>
          </w:p>
        </w:tc>
      </w:tr>
      <w:tr w:rsidR="002C2F7A" w:rsidRPr="002C2F7A" w14:paraId="060D1750" w14:textId="77777777" w:rsidTr="002C2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90C4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BCDS (Bond-Implied CDS)</w:t>
            </w:r>
          </w:p>
        </w:tc>
        <w:tc>
          <w:tcPr>
            <w:tcW w:w="0" w:type="auto"/>
            <w:vAlign w:val="center"/>
            <w:hideMark/>
          </w:tcPr>
          <w:p w14:paraId="4173799B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Fair CDS spread implied by bond prices</w:t>
            </w:r>
          </w:p>
        </w:tc>
      </w:tr>
      <w:tr w:rsidR="002C2F7A" w:rsidRPr="002C2F7A" w14:paraId="653D4FAA" w14:textId="77777777" w:rsidTr="002C2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1009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OAS-to-Fit (OASF)</w:t>
            </w:r>
          </w:p>
        </w:tc>
        <w:tc>
          <w:tcPr>
            <w:tcW w:w="0" w:type="auto"/>
            <w:vAlign w:val="center"/>
            <w:hideMark/>
          </w:tcPr>
          <w:p w14:paraId="3127F70C" w14:textId="77777777" w:rsidR="002C2F7A" w:rsidRPr="002C2F7A" w:rsidRDefault="002C2F7A" w:rsidP="002C2F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2F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Bond-specific relative value vs fitted price</w:t>
            </w:r>
          </w:p>
        </w:tc>
      </w:tr>
    </w:tbl>
    <w:p w14:paraId="7C261175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74F66D62">
          <v:rect id="_x0000_i1031" style="width:0;height:1.5pt" o:hralign="center" o:hrstd="t" o:hr="t" fillcolor="#a0a0a0" stroked="f"/>
        </w:pict>
      </w:r>
    </w:p>
    <w:p w14:paraId="5B78BA80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Impact on Theta Calculation for Clean </w:t>
      </w:r>
      <w:proofErr w:type="spellStart"/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PnL</w:t>
      </w:r>
      <w:proofErr w:type="spellEnd"/>
    </w:p>
    <w:p w14:paraId="4197AA39" w14:textId="77777777" w:rsidR="002C2F7A" w:rsidRPr="002C2F7A" w:rsidRDefault="002C2F7A" w:rsidP="002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To calculate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accurately:</w:t>
      </w:r>
    </w:p>
    <w:p w14:paraId="726A31DC" w14:textId="77777777" w:rsidR="002C2F7A" w:rsidRPr="002C2F7A" w:rsidRDefault="002C2F7A" w:rsidP="002C2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You must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reprice the same position using yesterday’s market and today’s valuation date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, using the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survival probabilities and recovery assumptions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07A700" w14:textId="77777777" w:rsidR="002C2F7A" w:rsidRPr="002C2F7A" w:rsidRDefault="002C2F7A" w:rsidP="002C2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distress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, value barely changes with time </w:t>
      </w:r>
      <w:r w:rsidRPr="002C2F7A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≈ 0</w:t>
      </w:r>
    </w:p>
    <w:p w14:paraId="139EA25D" w14:textId="77777777" w:rsidR="002C2F7A" w:rsidRPr="002C2F7A" w:rsidRDefault="002C2F7A" w:rsidP="002C2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or high-yield credit bonds,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= -</w:t>
      </w:r>
      <w:proofErr w:type="spellStart"/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dPV</w:t>
      </w:r>
      <w:proofErr w:type="spellEnd"/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/dt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comes from decay in:</w:t>
      </w:r>
    </w:p>
    <w:p w14:paraId="47C78AE6" w14:textId="77777777" w:rsidR="002C2F7A" w:rsidRPr="002C2F7A" w:rsidRDefault="002C2F7A" w:rsidP="002C2F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Discounted future cash flows</w:t>
      </w:r>
    </w:p>
    <w:p w14:paraId="4D286D79" w14:textId="77777777" w:rsidR="002C2F7A" w:rsidRPr="002C2F7A" w:rsidRDefault="002C2F7A" w:rsidP="002C2F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Shorter horizon for survival probabilities</w:t>
      </w:r>
    </w:p>
    <w:p w14:paraId="22FCA595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2CCF4608">
          <v:rect id="_x0000_i1032" style="width:0;height:1.5pt" o:hralign="center" o:hrstd="t" o:hr="t" fillcolor="#a0a0a0" stroked="f"/>
        </w:pict>
      </w:r>
    </w:p>
    <w:p w14:paraId="51690AD0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2F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2C2F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Takeaways for Amine</w:t>
      </w:r>
    </w:p>
    <w:p w14:paraId="45D0A48E" w14:textId="77777777" w:rsidR="002C2F7A" w:rsidRPr="002C2F7A" w:rsidRDefault="002C2F7A" w:rsidP="002C2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survival-based pricing with FRP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to calculate passage of time 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(Theta) for credit-risky bonds.</w:t>
      </w:r>
    </w:p>
    <w:p w14:paraId="7045B100" w14:textId="77777777" w:rsidR="002C2F7A" w:rsidRPr="002C2F7A" w:rsidRDefault="002C2F7A" w:rsidP="002C2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is sensitive to shape of survival curve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— flatter or front-loaded hazard = smaller theta.</w:t>
      </w:r>
    </w:p>
    <w:p w14:paraId="3CA44FE6" w14:textId="77777777" w:rsidR="002C2F7A" w:rsidRPr="002C2F7A" w:rsidRDefault="002C2F7A" w:rsidP="002C2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deep distress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, Theta approaches zero (price already reflects expected recovery).</w:t>
      </w:r>
    </w:p>
    <w:p w14:paraId="069A10FC" w14:textId="77777777" w:rsidR="002C2F7A" w:rsidRPr="002C2F7A" w:rsidRDefault="002C2F7A" w:rsidP="002C2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exponential splines</w:t>
      </w:r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to derive survival curves for consistent Clean </w:t>
      </w: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calculation.</w:t>
      </w:r>
    </w:p>
    <w:p w14:paraId="5F8A52A3" w14:textId="77777777" w:rsidR="002C2F7A" w:rsidRPr="002C2F7A" w:rsidRDefault="002C2F7A" w:rsidP="002C2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Avoid strippable cash flow models (Z-spread, OAS) — they distort theta, especially under default risk.</w:t>
      </w:r>
    </w:p>
    <w:p w14:paraId="58910ECE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pict w14:anchorId="26BE7D72">
          <v:rect id="_x0000_i1033" style="width:0;height:1.5pt" o:hralign="center" o:hrstd="t" o:hr="t" fillcolor="#a0a0a0" stroked="f"/>
        </w:pict>
      </w:r>
    </w:p>
    <w:p w14:paraId="4FF1DBA3" w14:textId="77777777" w:rsidR="002C2F7A" w:rsidRPr="002C2F7A" w:rsidRDefault="002C2F7A" w:rsidP="002C2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7A">
        <w:rPr>
          <w:rFonts w:ascii="Times New Roman" w:eastAsia="Times New Roman" w:hAnsi="Times New Roman" w:cs="Times New Roman"/>
          <w:kern w:val="0"/>
          <w14:ligatures w14:val="none"/>
        </w:rPr>
        <w:t>Let me know how you'd like to proceed next — I can help build a Python-based theta calculator using these formulas, or walk through a numerical example using one of your distressed bonds.</w:t>
      </w:r>
    </w:p>
    <w:p w14:paraId="0C83DE26" w14:textId="77777777" w:rsidR="002C2F7A" w:rsidRPr="002C2F7A" w:rsidRDefault="002C2F7A" w:rsidP="002C2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C2F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9EE1ACB" w14:textId="77777777" w:rsidR="002C2F7A" w:rsidRPr="002C2F7A" w:rsidRDefault="002C2F7A" w:rsidP="002C2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2C2F7A">
        <w:rPr>
          <w:rFonts w:ascii="Times New Roman" w:eastAsia="Times New Roman" w:hAnsi="Times New Roman" w:cs="Times New Roman"/>
          <w:kern w:val="0"/>
          <w14:ligatures w14:val="none"/>
        </w:rPr>
        <w:t xml:space="preserve"> would love that using python, also walk me through these numerical examples </w:t>
      </w:r>
    </w:p>
    <w:p w14:paraId="7A8A1AE6" w14:textId="77777777" w:rsidR="002C2F7A" w:rsidRDefault="002C2F7A"/>
    <w:sectPr w:rsidR="002C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655"/>
    <w:multiLevelType w:val="multilevel"/>
    <w:tmpl w:val="305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2BAF"/>
    <w:multiLevelType w:val="multilevel"/>
    <w:tmpl w:val="0CA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3418"/>
    <w:multiLevelType w:val="multilevel"/>
    <w:tmpl w:val="967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26A70"/>
    <w:multiLevelType w:val="multilevel"/>
    <w:tmpl w:val="1CCA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F7E25"/>
    <w:multiLevelType w:val="multilevel"/>
    <w:tmpl w:val="2DFE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07316"/>
    <w:multiLevelType w:val="multilevel"/>
    <w:tmpl w:val="D54C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03FF0"/>
    <w:multiLevelType w:val="multilevel"/>
    <w:tmpl w:val="146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F7BF8"/>
    <w:multiLevelType w:val="multilevel"/>
    <w:tmpl w:val="575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34589"/>
    <w:multiLevelType w:val="multilevel"/>
    <w:tmpl w:val="D40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041B"/>
    <w:multiLevelType w:val="multilevel"/>
    <w:tmpl w:val="81A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0749">
    <w:abstractNumId w:val="9"/>
  </w:num>
  <w:num w:numId="2" w16cid:durableId="1300451491">
    <w:abstractNumId w:val="7"/>
  </w:num>
  <w:num w:numId="3" w16cid:durableId="597757201">
    <w:abstractNumId w:val="6"/>
  </w:num>
  <w:num w:numId="4" w16cid:durableId="331179840">
    <w:abstractNumId w:val="0"/>
  </w:num>
  <w:num w:numId="5" w16cid:durableId="1937440914">
    <w:abstractNumId w:val="8"/>
  </w:num>
  <w:num w:numId="6" w16cid:durableId="1238132646">
    <w:abstractNumId w:val="5"/>
  </w:num>
  <w:num w:numId="7" w16cid:durableId="499735371">
    <w:abstractNumId w:val="2"/>
  </w:num>
  <w:num w:numId="8" w16cid:durableId="1905673666">
    <w:abstractNumId w:val="1"/>
  </w:num>
  <w:num w:numId="9" w16cid:durableId="904681137">
    <w:abstractNumId w:val="4"/>
  </w:num>
  <w:num w:numId="10" w16cid:durableId="1851797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7A"/>
    <w:rsid w:val="002C2F7A"/>
    <w:rsid w:val="005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4E65"/>
  <w15:chartTrackingRefBased/>
  <w15:docId w15:val="{DDE7FF5B-0E8D-4BA6-A09B-9A50B9EA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2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C2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F7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2F7A"/>
    <w:rPr>
      <w:b/>
      <w:bCs/>
    </w:rPr>
  </w:style>
  <w:style w:type="character" w:customStyle="1" w:styleId="katex-mathml">
    <w:name w:val="katex-mathml"/>
    <w:basedOn w:val="DefaultParagraphFont"/>
    <w:rsid w:val="002C2F7A"/>
  </w:style>
  <w:style w:type="character" w:customStyle="1" w:styleId="mord">
    <w:name w:val="mord"/>
    <w:basedOn w:val="DefaultParagraphFont"/>
    <w:rsid w:val="002C2F7A"/>
  </w:style>
  <w:style w:type="character" w:customStyle="1" w:styleId="mrel">
    <w:name w:val="mrel"/>
    <w:basedOn w:val="DefaultParagraphFont"/>
    <w:rsid w:val="002C2F7A"/>
  </w:style>
  <w:style w:type="character" w:customStyle="1" w:styleId="mop">
    <w:name w:val="mop"/>
    <w:basedOn w:val="DefaultParagraphFont"/>
    <w:rsid w:val="002C2F7A"/>
  </w:style>
  <w:style w:type="character" w:customStyle="1" w:styleId="mopen">
    <w:name w:val="mopen"/>
    <w:basedOn w:val="DefaultParagraphFont"/>
    <w:rsid w:val="002C2F7A"/>
  </w:style>
  <w:style w:type="character" w:customStyle="1" w:styleId="vlist-s">
    <w:name w:val="vlist-s"/>
    <w:basedOn w:val="DefaultParagraphFont"/>
    <w:rsid w:val="002C2F7A"/>
  </w:style>
  <w:style w:type="character" w:customStyle="1" w:styleId="mclose">
    <w:name w:val="mclose"/>
    <w:basedOn w:val="DefaultParagraphFont"/>
    <w:rsid w:val="002C2F7A"/>
  </w:style>
  <w:style w:type="character" w:customStyle="1" w:styleId="mbin">
    <w:name w:val="mbin"/>
    <w:basedOn w:val="DefaultParagraphFont"/>
    <w:rsid w:val="002C2F7A"/>
  </w:style>
  <w:style w:type="character" w:styleId="Emphasis">
    <w:name w:val="Emphasis"/>
    <w:basedOn w:val="DefaultParagraphFont"/>
    <w:uiPriority w:val="20"/>
    <w:qFormat/>
    <w:rsid w:val="002C2F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F7A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2C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1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7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3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50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2025-04-17T12:37:00Z</dcterms:created>
  <dcterms:modified xsi:type="dcterms:W3CDTF">2025-04-17T12:54:00Z</dcterms:modified>
</cp:coreProperties>
</file>