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221F6" w14:textId="77777777" w:rsidR="006D6B50" w:rsidRPr="006D6B50" w:rsidRDefault="006D6B50" w:rsidP="006D6B50">
      <w:pPr>
        <w:spacing w:before="100" w:beforeAutospacing="1" w:after="100" w:afterAutospacing="1"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 xml:space="preserve">Below is a clean reply you can send. I recommend using this table because it separates </w:t>
      </w:r>
      <w:r w:rsidRPr="006D6B50">
        <w:rPr>
          <w:rFonts w:ascii="Times New Roman" w:eastAsia="Times New Roman" w:hAnsi="Times New Roman" w:cs="Times New Roman"/>
          <w:b/>
          <w:bCs/>
          <w:kern w:val="0"/>
          <w14:ligatures w14:val="none"/>
        </w:rPr>
        <w:t>where the final label should live</w:t>
      </w:r>
      <w:r w:rsidRPr="006D6B50">
        <w:rPr>
          <w:rFonts w:ascii="Times New Roman" w:eastAsia="Times New Roman" w:hAnsi="Times New Roman" w:cs="Times New Roman"/>
          <w:kern w:val="0"/>
          <w14:ligatures w14:val="none"/>
        </w:rPr>
        <w:t xml:space="preserve"> from </w:t>
      </w:r>
      <w:r w:rsidRPr="006D6B50">
        <w:rPr>
          <w:rFonts w:ascii="Times New Roman" w:eastAsia="Times New Roman" w:hAnsi="Times New Roman" w:cs="Times New Roman"/>
          <w:b/>
          <w:bCs/>
          <w:kern w:val="0"/>
          <w14:ligatures w14:val="none"/>
        </w:rPr>
        <w:t>where remediation work should be executed</w:t>
      </w:r>
      <w:r w:rsidRPr="006D6B50">
        <w:rPr>
          <w:rFonts w:ascii="Times New Roman" w:eastAsia="Times New Roman" w:hAnsi="Times New Roman" w:cs="Times New Roman"/>
          <w:kern w:val="0"/>
          <w14:ligatures w14:val="none"/>
        </w:rPr>
        <w:t>.</w:t>
      </w:r>
    </w:p>
    <w:p w14:paraId="04EDC4EB" w14:textId="77777777" w:rsidR="006D6B50" w:rsidRPr="006D6B50" w:rsidRDefault="006D6B50" w:rsidP="006D6B50">
      <w:pPr>
        <w:spacing w:before="100" w:beforeAutospacing="1" w:after="100" w:afterAutospacing="1"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Hi Team,</w:t>
      </w:r>
    </w:p>
    <w:p w14:paraId="30A82A16" w14:textId="77777777" w:rsidR="006D6B50" w:rsidRPr="006D6B50" w:rsidRDefault="006D6B50" w:rsidP="006D6B50">
      <w:pPr>
        <w:spacing w:before="100" w:beforeAutospacing="1" w:after="100" w:afterAutospacing="1"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 xml:space="preserve">Based on the current IMA workstream structure, I would recommend treating the qualitative tests as part of the broader </w:t>
      </w:r>
      <w:r w:rsidRPr="006D6B50">
        <w:rPr>
          <w:rFonts w:ascii="Times New Roman" w:eastAsia="Times New Roman" w:hAnsi="Times New Roman" w:cs="Times New Roman"/>
          <w:b/>
          <w:bCs/>
          <w:kern w:val="0"/>
          <w14:ligatures w14:val="none"/>
        </w:rPr>
        <w:t>RFET and IMA Risk Factor Readiness framework</w:t>
      </w:r>
      <w:r w:rsidRPr="006D6B50">
        <w:rPr>
          <w:rFonts w:ascii="Times New Roman" w:eastAsia="Times New Roman" w:hAnsi="Times New Roman" w:cs="Times New Roman"/>
          <w:kern w:val="0"/>
          <w14:ligatures w14:val="none"/>
        </w:rPr>
        <w:t xml:space="preserve">, with the final pass/fail metadata and </w:t>
      </w:r>
      <w:proofErr w:type="spellStart"/>
      <w:r w:rsidRPr="006D6B50">
        <w:rPr>
          <w:rFonts w:ascii="Times New Roman" w:eastAsia="Times New Roman" w:hAnsi="Times New Roman" w:cs="Times New Roman"/>
          <w:kern w:val="0"/>
          <w14:ligatures w14:val="none"/>
        </w:rPr>
        <w:t>modellability</w:t>
      </w:r>
      <w:proofErr w:type="spellEnd"/>
      <w:r w:rsidRPr="006D6B50">
        <w:rPr>
          <w:rFonts w:ascii="Times New Roman" w:eastAsia="Times New Roman" w:hAnsi="Times New Roman" w:cs="Times New Roman"/>
          <w:kern w:val="0"/>
          <w14:ligatures w14:val="none"/>
        </w:rPr>
        <w:t xml:space="preserve"> classification owned under </w:t>
      </w:r>
      <w:r w:rsidRPr="006D6B50">
        <w:rPr>
          <w:rFonts w:ascii="Times New Roman" w:eastAsia="Times New Roman" w:hAnsi="Times New Roman" w:cs="Times New Roman"/>
          <w:b/>
          <w:bCs/>
          <w:kern w:val="0"/>
          <w14:ligatures w14:val="none"/>
        </w:rPr>
        <w:t>RFET</w:t>
      </w:r>
      <w:r w:rsidRPr="006D6B50">
        <w:rPr>
          <w:rFonts w:ascii="Times New Roman" w:eastAsia="Times New Roman" w:hAnsi="Times New Roman" w:cs="Times New Roman"/>
          <w:kern w:val="0"/>
          <w14:ligatures w14:val="none"/>
        </w:rPr>
        <w:t>.</w:t>
      </w:r>
    </w:p>
    <w:p w14:paraId="3E63691B" w14:textId="77777777" w:rsidR="006D6B50" w:rsidRPr="006D6B50" w:rsidRDefault="006D6B50" w:rsidP="006D6B50">
      <w:pPr>
        <w:spacing w:before="100" w:beforeAutospacing="1" w:after="100" w:afterAutospacing="1"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 xml:space="preserve">The reason is that RFET is the natural place where the two components of </w:t>
      </w:r>
      <w:proofErr w:type="spellStart"/>
      <w:r w:rsidRPr="006D6B50">
        <w:rPr>
          <w:rFonts w:ascii="Times New Roman" w:eastAsia="Times New Roman" w:hAnsi="Times New Roman" w:cs="Times New Roman"/>
          <w:kern w:val="0"/>
          <w14:ligatures w14:val="none"/>
        </w:rPr>
        <w:t>modellability</w:t>
      </w:r>
      <w:proofErr w:type="spellEnd"/>
      <w:r w:rsidRPr="006D6B50">
        <w:rPr>
          <w:rFonts w:ascii="Times New Roman" w:eastAsia="Times New Roman" w:hAnsi="Times New Roman" w:cs="Times New Roman"/>
          <w:kern w:val="0"/>
          <w14:ligatures w14:val="none"/>
        </w:rPr>
        <w:t xml:space="preserve"> come together:</w:t>
      </w:r>
    </w:p>
    <w:p w14:paraId="06C405DB" w14:textId="77777777" w:rsidR="006D6B50" w:rsidRPr="006D6B50" w:rsidRDefault="006D6B50" w:rsidP="006D6B5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b/>
          <w:bCs/>
          <w:kern w:val="0"/>
          <w14:ligatures w14:val="none"/>
        </w:rPr>
        <w:t>Quantitative RFET</w:t>
      </w:r>
      <w:r w:rsidRPr="006D6B50">
        <w:rPr>
          <w:rFonts w:ascii="Times New Roman" w:eastAsia="Times New Roman" w:hAnsi="Times New Roman" w:cs="Times New Roman"/>
          <w:kern w:val="0"/>
          <w14:ligatures w14:val="none"/>
        </w:rPr>
        <w:t>: driven by RPO availability, RPO mapping, bucketing, and counting.</w:t>
      </w:r>
    </w:p>
    <w:p w14:paraId="29215C41" w14:textId="77777777" w:rsidR="006D6B50" w:rsidRPr="006D6B50" w:rsidRDefault="006D6B50" w:rsidP="006D6B5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b/>
          <w:bCs/>
          <w:kern w:val="0"/>
          <w14:ligatures w14:val="none"/>
        </w:rPr>
        <w:t>Qualitative RFET</w:t>
      </w:r>
      <w:r w:rsidRPr="006D6B50">
        <w:rPr>
          <w:rFonts w:ascii="Times New Roman" w:eastAsia="Times New Roman" w:hAnsi="Times New Roman" w:cs="Times New Roman"/>
          <w:kern w:val="0"/>
          <w14:ligatures w14:val="none"/>
        </w:rPr>
        <w:t>: driven by whether the risk factor representation, proxy, history, calibration inputs, idiosyncratic risk capture, and transformations are acceptable.</w:t>
      </w:r>
    </w:p>
    <w:p w14:paraId="7FDCFE34" w14:textId="77777777" w:rsidR="006D6B50" w:rsidRPr="006D6B50" w:rsidRDefault="006D6B50" w:rsidP="006D6B50">
      <w:pPr>
        <w:spacing w:before="100" w:beforeAutospacing="1" w:after="100" w:afterAutospacing="1"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 xml:space="preserve">The remediation work itself may sit across several workstreams, but the final qualitative outcome should be consolidated in RFET so that the final </w:t>
      </w:r>
      <w:proofErr w:type="spellStart"/>
      <w:r w:rsidRPr="006D6B50">
        <w:rPr>
          <w:rFonts w:ascii="Times New Roman" w:eastAsia="Times New Roman" w:hAnsi="Times New Roman" w:cs="Times New Roman"/>
          <w:kern w:val="0"/>
          <w14:ligatures w14:val="none"/>
        </w:rPr>
        <w:t>modellability</w:t>
      </w:r>
      <w:proofErr w:type="spellEnd"/>
      <w:r w:rsidRPr="006D6B50">
        <w:rPr>
          <w:rFonts w:ascii="Times New Roman" w:eastAsia="Times New Roman" w:hAnsi="Times New Roman" w:cs="Times New Roman"/>
          <w:kern w:val="0"/>
          <w14:ligatures w14:val="none"/>
        </w:rPr>
        <w:t xml:space="preserve"> classification is consistent and audit-ready.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2243"/>
        <w:gridCol w:w="3306"/>
        <w:gridCol w:w="2217"/>
      </w:tblGrid>
      <w:tr w:rsidR="006D6B50" w:rsidRPr="006D6B50" w14:paraId="0C630BF3" w14:textId="77777777">
        <w:trPr>
          <w:tblHeader/>
          <w:tblCellSpacing w:w="15" w:type="dxa"/>
        </w:trPr>
        <w:tc>
          <w:tcPr>
            <w:tcW w:w="0" w:type="auto"/>
            <w:vAlign w:val="center"/>
            <w:hideMark/>
          </w:tcPr>
          <w:p w14:paraId="5C1113DD" w14:textId="77777777" w:rsidR="006D6B50" w:rsidRPr="006D6B50" w:rsidRDefault="006D6B50" w:rsidP="006D6B50">
            <w:pPr>
              <w:spacing w:after="0" w:line="240" w:lineRule="auto"/>
              <w:jc w:val="center"/>
              <w:rPr>
                <w:rFonts w:ascii="Times New Roman" w:eastAsia="Times New Roman" w:hAnsi="Times New Roman" w:cs="Times New Roman"/>
                <w:b/>
                <w:bCs/>
                <w:kern w:val="0"/>
                <w14:ligatures w14:val="none"/>
              </w:rPr>
            </w:pPr>
            <w:r w:rsidRPr="006D6B50">
              <w:rPr>
                <w:rFonts w:ascii="Times New Roman" w:eastAsia="Times New Roman" w:hAnsi="Times New Roman" w:cs="Times New Roman"/>
                <w:b/>
                <w:bCs/>
                <w:kern w:val="0"/>
                <w14:ligatures w14:val="none"/>
              </w:rPr>
              <w:t>Area</w:t>
            </w:r>
          </w:p>
        </w:tc>
        <w:tc>
          <w:tcPr>
            <w:tcW w:w="0" w:type="auto"/>
            <w:vAlign w:val="center"/>
            <w:hideMark/>
          </w:tcPr>
          <w:p w14:paraId="1633F29C" w14:textId="77777777" w:rsidR="006D6B50" w:rsidRPr="006D6B50" w:rsidRDefault="006D6B50" w:rsidP="006D6B50">
            <w:pPr>
              <w:spacing w:after="0" w:line="240" w:lineRule="auto"/>
              <w:jc w:val="right"/>
              <w:rPr>
                <w:rFonts w:ascii="Times New Roman" w:eastAsia="Times New Roman" w:hAnsi="Times New Roman" w:cs="Times New Roman"/>
                <w:b/>
                <w:bCs/>
                <w:kern w:val="0"/>
                <w14:ligatures w14:val="none"/>
              </w:rPr>
            </w:pPr>
            <w:r w:rsidRPr="006D6B50">
              <w:rPr>
                <w:rFonts w:ascii="Times New Roman" w:eastAsia="Times New Roman" w:hAnsi="Times New Roman" w:cs="Times New Roman"/>
                <w:b/>
                <w:bCs/>
                <w:kern w:val="0"/>
                <w14:ligatures w14:val="none"/>
              </w:rPr>
              <w:t>Recommended Ownership</w:t>
            </w:r>
          </w:p>
        </w:tc>
        <w:tc>
          <w:tcPr>
            <w:tcW w:w="0" w:type="auto"/>
            <w:vAlign w:val="center"/>
            <w:hideMark/>
          </w:tcPr>
          <w:p w14:paraId="61EEFEAC" w14:textId="77777777" w:rsidR="006D6B50" w:rsidRPr="006D6B50" w:rsidRDefault="006D6B50" w:rsidP="006D6B50">
            <w:pPr>
              <w:spacing w:after="0" w:line="240" w:lineRule="auto"/>
              <w:jc w:val="center"/>
              <w:rPr>
                <w:rFonts w:ascii="Times New Roman" w:eastAsia="Times New Roman" w:hAnsi="Times New Roman" w:cs="Times New Roman"/>
                <w:b/>
                <w:bCs/>
                <w:kern w:val="0"/>
                <w14:ligatures w14:val="none"/>
              </w:rPr>
            </w:pPr>
            <w:r w:rsidRPr="006D6B50">
              <w:rPr>
                <w:rFonts w:ascii="Times New Roman" w:eastAsia="Times New Roman" w:hAnsi="Times New Roman" w:cs="Times New Roman"/>
                <w:b/>
                <w:bCs/>
                <w:kern w:val="0"/>
                <w14:ligatures w14:val="none"/>
              </w:rPr>
              <w:t>What It Owns</w:t>
            </w:r>
          </w:p>
        </w:tc>
        <w:tc>
          <w:tcPr>
            <w:tcW w:w="0" w:type="auto"/>
            <w:vAlign w:val="center"/>
            <w:hideMark/>
          </w:tcPr>
          <w:p w14:paraId="28ACE893" w14:textId="77777777" w:rsidR="006D6B50" w:rsidRPr="006D6B50" w:rsidRDefault="006D6B50" w:rsidP="006D6B50">
            <w:pPr>
              <w:spacing w:after="0" w:line="240" w:lineRule="auto"/>
              <w:jc w:val="center"/>
              <w:rPr>
                <w:rFonts w:ascii="Times New Roman" w:eastAsia="Times New Roman" w:hAnsi="Times New Roman" w:cs="Times New Roman"/>
                <w:b/>
                <w:bCs/>
                <w:kern w:val="0"/>
                <w14:ligatures w14:val="none"/>
              </w:rPr>
            </w:pPr>
            <w:r w:rsidRPr="006D6B50">
              <w:rPr>
                <w:rFonts w:ascii="Times New Roman" w:eastAsia="Times New Roman" w:hAnsi="Times New Roman" w:cs="Times New Roman"/>
                <w:b/>
                <w:bCs/>
                <w:kern w:val="0"/>
                <w14:ligatures w14:val="none"/>
              </w:rPr>
              <w:t>Output</w:t>
            </w:r>
          </w:p>
        </w:tc>
      </w:tr>
      <w:tr w:rsidR="006D6B50" w:rsidRPr="006D6B50" w14:paraId="59667AFC" w14:textId="77777777">
        <w:trPr>
          <w:tblCellSpacing w:w="15" w:type="dxa"/>
        </w:trPr>
        <w:tc>
          <w:tcPr>
            <w:tcW w:w="0" w:type="auto"/>
            <w:vAlign w:val="center"/>
            <w:hideMark/>
          </w:tcPr>
          <w:p w14:paraId="4ECE13C3"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Curve / Surface Generation</w:t>
            </w:r>
          </w:p>
        </w:tc>
        <w:tc>
          <w:tcPr>
            <w:tcW w:w="0" w:type="auto"/>
            <w:vAlign w:val="center"/>
            <w:hideMark/>
          </w:tcPr>
          <w:p w14:paraId="52D8F94E" w14:textId="77777777" w:rsidR="006D6B50" w:rsidRPr="006D6B50" w:rsidRDefault="006D6B50" w:rsidP="006D6B50">
            <w:pPr>
              <w:spacing w:after="0" w:line="240" w:lineRule="auto"/>
              <w:jc w:val="right"/>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Curve / Surface workstream</w:t>
            </w:r>
          </w:p>
        </w:tc>
        <w:tc>
          <w:tcPr>
            <w:tcW w:w="0" w:type="auto"/>
            <w:vAlign w:val="center"/>
            <w:hideMark/>
          </w:tcPr>
          <w:p w14:paraId="68E0FA87"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Curve construction, surface calibration, raw input capture, calibration quality, curve/surface representation</w:t>
            </w:r>
          </w:p>
        </w:tc>
        <w:tc>
          <w:tcPr>
            <w:tcW w:w="0" w:type="auto"/>
            <w:vAlign w:val="center"/>
            <w:hideMark/>
          </w:tcPr>
          <w:p w14:paraId="19F7FB0A"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Clean and supportable curves/surfaces feeding risk factor generation</w:t>
            </w:r>
          </w:p>
        </w:tc>
      </w:tr>
      <w:tr w:rsidR="006D6B50" w:rsidRPr="006D6B50" w14:paraId="00D81DDE" w14:textId="77777777">
        <w:trPr>
          <w:tblCellSpacing w:w="15" w:type="dxa"/>
        </w:trPr>
        <w:tc>
          <w:tcPr>
            <w:tcW w:w="0" w:type="auto"/>
            <w:vAlign w:val="center"/>
            <w:hideMark/>
          </w:tcPr>
          <w:p w14:paraId="4B88F2E8"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RF Generation and Scenarios</w:t>
            </w:r>
          </w:p>
        </w:tc>
        <w:tc>
          <w:tcPr>
            <w:tcW w:w="0" w:type="auto"/>
            <w:vAlign w:val="center"/>
            <w:hideMark/>
          </w:tcPr>
          <w:p w14:paraId="5FDB948F" w14:textId="77777777" w:rsidR="006D6B50" w:rsidRPr="006D6B50" w:rsidRDefault="006D6B50" w:rsidP="006D6B50">
            <w:pPr>
              <w:spacing w:after="0" w:line="240" w:lineRule="auto"/>
              <w:jc w:val="right"/>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RF Generation workstream</w:t>
            </w:r>
          </w:p>
        </w:tc>
        <w:tc>
          <w:tcPr>
            <w:tcW w:w="0" w:type="auto"/>
            <w:vAlign w:val="center"/>
            <w:hideMark/>
          </w:tcPr>
          <w:p w14:paraId="05DF0978"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Risk factor creation, shocks, scenarios, transformations, derived risk factors, historical shock adjustments</w:t>
            </w:r>
          </w:p>
        </w:tc>
        <w:tc>
          <w:tcPr>
            <w:tcW w:w="0" w:type="auto"/>
            <w:vAlign w:val="center"/>
            <w:hideMark/>
          </w:tcPr>
          <w:p w14:paraId="587AFA10"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Valid risk factor time series and shock/scenario inputs</w:t>
            </w:r>
          </w:p>
        </w:tc>
      </w:tr>
      <w:tr w:rsidR="006D6B50" w:rsidRPr="006D6B50" w14:paraId="28553D86" w14:textId="77777777">
        <w:trPr>
          <w:tblCellSpacing w:w="15" w:type="dxa"/>
        </w:trPr>
        <w:tc>
          <w:tcPr>
            <w:tcW w:w="0" w:type="auto"/>
            <w:vAlign w:val="center"/>
            <w:hideMark/>
          </w:tcPr>
          <w:p w14:paraId="7DFE9042"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RFET – Quantitative</w:t>
            </w:r>
          </w:p>
        </w:tc>
        <w:tc>
          <w:tcPr>
            <w:tcW w:w="0" w:type="auto"/>
            <w:vAlign w:val="center"/>
            <w:hideMark/>
          </w:tcPr>
          <w:p w14:paraId="29F1202D" w14:textId="77777777" w:rsidR="006D6B50" w:rsidRPr="006D6B50" w:rsidRDefault="006D6B50" w:rsidP="006D6B50">
            <w:pPr>
              <w:spacing w:after="0" w:line="240" w:lineRule="auto"/>
              <w:jc w:val="right"/>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RFET workstream</w:t>
            </w:r>
          </w:p>
        </w:tc>
        <w:tc>
          <w:tcPr>
            <w:tcW w:w="0" w:type="auto"/>
            <w:vAlign w:val="center"/>
            <w:hideMark/>
          </w:tcPr>
          <w:p w14:paraId="226C2874"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RPO ingestion, storage, normalization, bucketing, aging logic, RPO-to-RF mapping, counting engine</w:t>
            </w:r>
          </w:p>
        </w:tc>
        <w:tc>
          <w:tcPr>
            <w:tcW w:w="0" w:type="auto"/>
            <w:vAlign w:val="center"/>
            <w:hideMark/>
          </w:tcPr>
          <w:p w14:paraId="2A58B645"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Quantitative pass/fail result based on RPO evidence</w:t>
            </w:r>
          </w:p>
        </w:tc>
      </w:tr>
      <w:tr w:rsidR="006D6B50" w:rsidRPr="006D6B50" w14:paraId="474BBF7E" w14:textId="77777777">
        <w:trPr>
          <w:tblCellSpacing w:w="15" w:type="dxa"/>
        </w:trPr>
        <w:tc>
          <w:tcPr>
            <w:tcW w:w="0" w:type="auto"/>
            <w:vAlign w:val="center"/>
            <w:hideMark/>
          </w:tcPr>
          <w:p w14:paraId="692609F4"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RFET – Qualitative Metadata</w:t>
            </w:r>
          </w:p>
        </w:tc>
        <w:tc>
          <w:tcPr>
            <w:tcW w:w="0" w:type="auto"/>
            <w:vAlign w:val="center"/>
            <w:hideMark/>
          </w:tcPr>
          <w:p w14:paraId="7358D265" w14:textId="77777777" w:rsidR="006D6B50" w:rsidRPr="006D6B50" w:rsidRDefault="006D6B50" w:rsidP="006D6B50">
            <w:pPr>
              <w:spacing w:after="0" w:line="240" w:lineRule="auto"/>
              <w:jc w:val="right"/>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RFET workstream</w:t>
            </w:r>
          </w:p>
        </w:tc>
        <w:tc>
          <w:tcPr>
            <w:tcW w:w="0" w:type="auto"/>
            <w:vAlign w:val="center"/>
            <w:hideMark/>
          </w:tcPr>
          <w:p w14:paraId="318C5717"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Store pass/fail outcome for each of the six qualitative tests; maintain evidence, overrides, comments, ownership, and effective dates</w:t>
            </w:r>
          </w:p>
        </w:tc>
        <w:tc>
          <w:tcPr>
            <w:tcW w:w="0" w:type="auto"/>
            <w:vAlign w:val="center"/>
            <w:hideMark/>
          </w:tcPr>
          <w:p w14:paraId="6FF5E47F"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Qualitative pass/fail result per risk factor</w:t>
            </w:r>
          </w:p>
        </w:tc>
      </w:tr>
      <w:tr w:rsidR="006D6B50" w:rsidRPr="006D6B50" w14:paraId="19FFE54F" w14:textId="77777777">
        <w:trPr>
          <w:tblCellSpacing w:w="15" w:type="dxa"/>
        </w:trPr>
        <w:tc>
          <w:tcPr>
            <w:tcW w:w="0" w:type="auto"/>
            <w:vAlign w:val="center"/>
            <w:hideMark/>
          </w:tcPr>
          <w:p w14:paraId="3FFE1938"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Qualitative Test Remediation</w:t>
            </w:r>
          </w:p>
        </w:tc>
        <w:tc>
          <w:tcPr>
            <w:tcW w:w="0" w:type="auto"/>
            <w:vAlign w:val="center"/>
            <w:hideMark/>
          </w:tcPr>
          <w:p w14:paraId="121A4806" w14:textId="77777777" w:rsidR="006D6B50" w:rsidRPr="006D6B50" w:rsidRDefault="006D6B50" w:rsidP="006D6B50">
            <w:pPr>
              <w:spacing w:after="0" w:line="240" w:lineRule="auto"/>
              <w:jc w:val="right"/>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Executed by relevant upstream workstream, governed through RFET</w:t>
            </w:r>
          </w:p>
        </w:tc>
        <w:tc>
          <w:tcPr>
            <w:tcW w:w="0" w:type="auto"/>
            <w:vAlign w:val="center"/>
            <w:hideMark/>
          </w:tcPr>
          <w:p w14:paraId="1549B705"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 xml:space="preserve">Remediate failed qualitative tests: improve curve/surface inputs, derive new RFs, adjust shocks, improve history, fix </w:t>
            </w:r>
            <w:r w:rsidRPr="006D6B50">
              <w:rPr>
                <w:rFonts w:ascii="Times New Roman" w:eastAsia="Times New Roman" w:hAnsi="Times New Roman" w:cs="Times New Roman"/>
                <w:kern w:val="0"/>
                <w14:ligatures w14:val="none"/>
              </w:rPr>
              <w:lastRenderedPageBreak/>
              <w:t>proxies, capture idiosyncratic risk</w:t>
            </w:r>
          </w:p>
        </w:tc>
        <w:tc>
          <w:tcPr>
            <w:tcW w:w="0" w:type="auto"/>
            <w:vAlign w:val="center"/>
            <w:hideMark/>
          </w:tcPr>
          <w:p w14:paraId="47FEEE11"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lastRenderedPageBreak/>
              <w:t>Remediation evidence feeding back into qualitative test result</w:t>
            </w:r>
          </w:p>
        </w:tc>
      </w:tr>
      <w:tr w:rsidR="006D6B50" w:rsidRPr="006D6B50" w14:paraId="750DFD1A" w14:textId="77777777">
        <w:trPr>
          <w:tblCellSpacing w:w="15" w:type="dxa"/>
        </w:trPr>
        <w:tc>
          <w:tcPr>
            <w:tcW w:w="0" w:type="auto"/>
            <w:vAlign w:val="center"/>
            <w:hideMark/>
          </w:tcPr>
          <w:p w14:paraId="090CC718"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 xml:space="preserve">Calc: ES, SES, </w:t>
            </w:r>
            <w:proofErr w:type="spellStart"/>
            <w:r w:rsidRPr="006D6B50">
              <w:rPr>
                <w:rFonts w:ascii="Times New Roman" w:eastAsia="Times New Roman" w:hAnsi="Times New Roman" w:cs="Times New Roman"/>
                <w:kern w:val="0"/>
                <w14:ligatures w14:val="none"/>
              </w:rPr>
              <w:t>Backtesting</w:t>
            </w:r>
            <w:proofErr w:type="spellEnd"/>
          </w:p>
        </w:tc>
        <w:tc>
          <w:tcPr>
            <w:tcW w:w="0" w:type="auto"/>
            <w:vAlign w:val="center"/>
            <w:hideMark/>
          </w:tcPr>
          <w:p w14:paraId="4A3E8A75" w14:textId="77777777" w:rsidR="006D6B50" w:rsidRPr="006D6B50" w:rsidRDefault="006D6B50" w:rsidP="006D6B50">
            <w:pPr>
              <w:spacing w:after="0" w:line="240" w:lineRule="auto"/>
              <w:jc w:val="right"/>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Calculation workstream</w:t>
            </w:r>
          </w:p>
        </w:tc>
        <w:tc>
          <w:tcPr>
            <w:tcW w:w="0" w:type="auto"/>
            <w:vAlign w:val="center"/>
            <w:hideMark/>
          </w:tcPr>
          <w:p w14:paraId="5C5280D2"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 xml:space="preserve">Use final RF classification to determine ES vs SES/NMRF treatment; support </w:t>
            </w:r>
            <w:proofErr w:type="spellStart"/>
            <w:r w:rsidRPr="006D6B50">
              <w:rPr>
                <w:rFonts w:ascii="Times New Roman" w:eastAsia="Times New Roman" w:hAnsi="Times New Roman" w:cs="Times New Roman"/>
                <w:kern w:val="0"/>
                <w14:ligatures w14:val="none"/>
              </w:rPr>
              <w:t>backtesting</w:t>
            </w:r>
            <w:proofErr w:type="spellEnd"/>
            <w:r w:rsidRPr="006D6B50">
              <w:rPr>
                <w:rFonts w:ascii="Times New Roman" w:eastAsia="Times New Roman" w:hAnsi="Times New Roman" w:cs="Times New Roman"/>
                <w:kern w:val="0"/>
                <w14:ligatures w14:val="none"/>
              </w:rPr>
              <w:t xml:space="preserve"> and capital calculations</w:t>
            </w:r>
          </w:p>
        </w:tc>
        <w:tc>
          <w:tcPr>
            <w:tcW w:w="0" w:type="auto"/>
            <w:vAlign w:val="center"/>
            <w:hideMark/>
          </w:tcPr>
          <w:p w14:paraId="6424DBB8"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Capital and validation outputs</w:t>
            </w:r>
          </w:p>
        </w:tc>
      </w:tr>
      <w:tr w:rsidR="006D6B50" w:rsidRPr="006D6B50" w14:paraId="62F7C184" w14:textId="77777777">
        <w:trPr>
          <w:tblCellSpacing w:w="15" w:type="dxa"/>
        </w:trPr>
        <w:tc>
          <w:tcPr>
            <w:tcW w:w="0" w:type="auto"/>
            <w:vAlign w:val="center"/>
            <w:hideMark/>
          </w:tcPr>
          <w:p w14:paraId="34B3D7CA"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Data Quality</w:t>
            </w:r>
          </w:p>
        </w:tc>
        <w:tc>
          <w:tcPr>
            <w:tcW w:w="0" w:type="auto"/>
            <w:vAlign w:val="center"/>
            <w:hideMark/>
          </w:tcPr>
          <w:p w14:paraId="726A3845" w14:textId="77777777" w:rsidR="006D6B50" w:rsidRPr="006D6B50" w:rsidRDefault="006D6B50" w:rsidP="006D6B50">
            <w:pPr>
              <w:spacing w:after="0" w:line="240" w:lineRule="auto"/>
              <w:jc w:val="right"/>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Data Quality workstream</w:t>
            </w:r>
          </w:p>
        </w:tc>
        <w:tc>
          <w:tcPr>
            <w:tcW w:w="0" w:type="auto"/>
            <w:vAlign w:val="center"/>
            <w:hideMark/>
          </w:tcPr>
          <w:p w14:paraId="6FFDB1BD"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Data completeness, stale data, outliers, history gaps, lineage, controls, exception aging</w:t>
            </w:r>
          </w:p>
        </w:tc>
        <w:tc>
          <w:tcPr>
            <w:tcW w:w="0" w:type="auto"/>
            <w:vAlign w:val="center"/>
            <w:hideMark/>
          </w:tcPr>
          <w:p w14:paraId="72989778"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DQ status and remediation evidence</w:t>
            </w:r>
          </w:p>
        </w:tc>
      </w:tr>
      <w:tr w:rsidR="006D6B50" w:rsidRPr="006D6B50" w14:paraId="7E651DAC" w14:textId="77777777">
        <w:trPr>
          <w:tblCellSpacing w:w="15" w:type="dxa"/>
        </w:trPr>
        <w:tc>
          <w:tcPr>
            <w:tcW w:w="0" w:type="auto"/>
            <w:vAlign w:val="center"/>
            <w:hideMark/>
          </w:tcPr>
          <w:p w14:paraId="55C7C695"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Final RFET Classification</w:t>
            </w:r>
          </w:p>
        </w:tc>
        <w:tc>
          <w:tcPr>
            <w:tcW w:w="0" w:type="auto"/>
            <w:vAlign w:val="center"/>
            <w:hideMark/>
          </w:tcPr>
          <w:p w14:paraId="6C1A35F7" w14:textId="77777777" w:rsidR="006D6B50" w:rsidRPr="006D6B50" w:rsidRDefault="006D6B50" w:rsidP="006D6B50">
            <w:pPr>
              <w:spacing w:after="0" w:line="240" w:lineRule="auto"/>
              <w:jc w:val="right"/>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RFET workstream</w:t>
            </w:r>
          </w:p>
        </w:tc>
        <w:tc>
          <w:tcPr>
            <w:tcW w:w="0" w:type="auto"/>
            <w:vAlign w:val="center"/>
            <w:hideMark/>
          </w:tcPr>
          <w:p w14:paraId="44953DE4"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 xml:space="preserve">Combine quantitative RPO result and qualitative result into final </w:t>
            </w:r>
            <w:proofErr w:type="spellStart"/>
            <w:r w:rsidRPr="006D6B50">
              <w:rPr>
                <w:rFonts w:ascii="Times New Roman" w:eastAsia="Times New Roman" w:hAnsi="Times New Roman" w:cs="Times New Roman"/>
                <w:kern w:val="0"/>
                <w14:ligatures w14:val="none"/>
              </w:rPr>
              <w:t>modellability</w:t>
            </w:r>
            <w:proofErr w:type="spellEnd"/>
            <w:r w:rsidRPr="006D6B50">
              <w:rPr>
                <w:rFonts w:ascii="Times New Roman" w:eastAsia="Times New Roman" w:hAnsi="Times New Roman" w:cs="Times New Roman"/>
                <w:kern w:val="0"/>
                <w14:ligatures w14:val="none"/>
              </w:rPr>
              <w:t xml:space="preserve"> status</w:t>
            </w:r>
          </w:p>
        </w:tc>
        <w:tc>
          <w:tcPr>
            <w:tcW w:w="0" w:type="auto"/>
            <w:vAlign w:val="center"/>
            <w:hideMark/>
          </w:tcPr>
          <w:p w14:paraId="2C7422BB"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Modellable / Type A NMRF / Type B NMRF</w:t>
            </w:r>
          </w:p>
        </w:tc>
      </w:tr>
    </w:tbl>
    <w:p w14:paraId="0830431A" w14:textId="77777777" w:rsidR="006D6B50" w:rsidRPr="006D6B50" w:rsidRDefault="006D6B50" w:rsidP="006D6B50">
      <w:pPr>
        <w:spacing w:before="100" w:beforeAutospacing="1" w:after="100" w:afterAutospacing="1"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The key distinction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2"/>
        <w:gridCol w:w="6268"/>
      </w:tblGrid>
      <w:tr w:rsidR="006D6B50" w:rsidRPr="006D6B50" w14:paraId="6FA211DC" w14:textId="77777777">
        <w:trPr>
          <w:tblHeader/>
          <w:tblCellSpacing w:w="15" w:type="dxa"/>
        </w:trPr>
        <w:tc>
          <w:tcPr>
            <w:tcW w:w="0" w:type="auto"/>
            <w:vAlign w:val="center"/>
            <w:hideMark/>
          </w:tcPr>
          <w:p w14:paraId="3E8AFA69" w14:textId="77777777" w:rsidR="006D6B50" w:rsidRPr="006D6B50" w:rsidRDefault="006D6B50" w:rsidP="006D6B50">
            <w:pPr>
              <w:spacing w:after="0" w:line="240" w:lineRule="auto"/>
              <w:jc w:val="center"/>
              <w:rPr>
                <w:rFonts w:ascii="Times New Roman" w:eastAsia="Times New Roman" w:hAnsi="Times New Roman" w:cs="Times New Roman"/>
                <w:b/>
                <w:bCs/>
                <w:kern w:val="0"/>
                <w14:ligatures w14:val="none"/>
              </w:rPr>
            </w:pPr>
            <w:r w:rsidRPr="006D6B50">
              <w:rPr>
                <w:rFonts w:ascii="Times New Roman" w:eastAsia="Times New Roman" w:hAnsi="Times New Roman" w:cs="Times New Roman"/>
                <w:b/>
                <w:bCs/>
                <w:kern w:val="0"/>
                <w14:ligatures w14:val="none"/>
              </w:rPr>
              <w:t>Question</w:t>
            </w:r>
          </w:p>
        </w:tc>
        <w:tc>
          <w:tcPr>
            <w:tcW w:w="0" w:type="auto"/>
            <w:vAlign w:val="center"/>
            <w:hideMark/>
          </w:tcPr>
          <w:p w14:paraId="74B5704C" w14:textId="77777777" w:rsidR="006D6B50" w:rsidRPr="006D6B50" w:rsidRDefault="006D6B50" w:rsidP="006D6B50">
            <w:pPr>
              <w:spacing w:after="0" w:line="240" w:lineRule="auto"/>
              <w:jc w:val="center"/>
              <w:rPr>
                <w:rFonts w:ascii="Times New Roman" w:eastAsia="Times New Roman" w:hAnsi="Times New Roman" w:cs="Times New Roman"/>
                <w:b/>
                <w:bCs/>
                <w:kern w:val="0"/>
                <w14:ligatures w14:val="none"/>
              </w:rPr>
            </w:pPr>
            <w:r w:rsidRPr="006D6B50">
              <w:rPr>
                <w:rFonts w:ascii="Times New Roman" w:eastAsia="Times New Roman" w:hAnsi="Times New Roman" w:cs="Times New Roman"/>
                <w:b/>
                <w:bCs/>
                <w:kern w:val="0"/>
                <w14:ligatures w14:val="none"/>
              </w:rPr>
              <w:t>Recommended Answer</w:t>
            </w:r>
          </w:p>
        </w:tc>
      </w:tr>
      <w:tr w:rsidR="006D6B50" w:rsidRPr="006D6B50" w14:paraId="50CB4327" w14:textId="77777777">
        <w:trPr>
          <w:tblCellSpacing w:w="15" w:type="dxa"/>
        </w:trPr>
        <w:tc>
          <w:tcPr>
            <w:tcW w:w="0" w:type="auto"/>
            <w:vAlign w:val="center"/>
            <w:hideMark/>
          </w:tcPr>
          <w:p w14:paraId="379427AC"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Where should the final qualitative pass/fail metadata be stored?</w:t>
            </w:r>
          </w:p>
        </w:tc>
        <w:tc>
          <w:tcPr>
            <w:tcW w:w="0" w:type="auto"/>
            <w:vAlign w:val="center"/>
            <w:hideMark/>
          </w:tcPr>
          <w:p w14:paraId="49C2C9F9"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RFET</w:t>
            </w:r>
          </w:p>
        </w:tc>
      </w:tr>
      <w:tr w:rsidR="006D6B50" w:rsidRPr="006D6B50" w14:paraId="1CBB8DD2" w14:textId="77777777">
        <w:trPr>
          <w:tblCellSpacing w:w="15" w:type="dxa"/>
        </w:trPr>
        <w:tc>
          <w:tcPr>
            <w:tcW w:w="0" w:type="auto"/>
            <w:vAlign w:val="center"/>
            <w:hideMark/>
          </w:tcPr>
          <w:p w14:paraId="20DC0603"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 xml:space="preserve">Where should the final </w:t>
            </w:r>
            <w:proofErr w:type="spellStart"/>
            <w:r w:rsidRPr="006D6B50">
              <w:rPr>
                <w:rFonts w:ascii="Times New Roman" w:eastAsia="Times New Roman" w:hAnsi="Times New Roman" w:cs="Times New Roman"/>
                <w:kern w:val="0"/>
                <w14:ligatures w14:val="none"/>
              </w:rPr>
              <w:t>modellability</w:t>
            </w:r>
            <w:proofErr w:type="spellEnd"/>
            <w:r w:rsidRPr="006D6B50">
              <w:rPr>
                <w:rFonts w:ascii="Times New Roman" w:eastAsia="Times New Roman" w:hAnsi="Times New Roman" w:cs="Times New Roman"/>
                <w:kern w:val="0"/>
                <w14:ligatures w14:val="none"/>
              </w:rPr>
              <w:t xml:space="preserve"> classification be produced?</w:t>
            </w:r>
          </w:p>
        </w:tc>
        <w:tc>
          <w:tcPr>
            <w:tcW w:w="0" w:type="auto"/>
            <w:vAlign w:val="center"/>
            <w:hideMark/>
          </w:tcPr>
          <w:p w14:paraId="33DF6893"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RFET</w:t>
            </w:r>
          </w:p>
        </w:tc>
      </w:tr>
      <w:tr w:rsidR="006D6B50" w:rsidRPr="006D6B50" w14:paraId="310F4F9A" w14:textId="77777777">
        <w:trPr>
          <w:tblCellSpacing w:w="15" w:type="dxa"/>
        </w:trPr>
        <w:tc>
          <w:tcPr>
            <w:tcW w:w="0" w:type="auto"/>
            <w:vAlign w:val="center"/>
            <w:hideMark/>
          </w:tcPr>
          <w:p w14:paraId="623C7087"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Where should remediation work happen?</w:t>
            </w:r>
          </w:p>
        </w:tc>
        <w:tc>
          <w:tcPr>
            <w:tcW w:w="0" w:type="auto"/>
            <w:vAlign w:val="center"/>
            <w:hideMark/>
          </w:tcPr>
          <w:p w14:paraId="43B5D092"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In the workstream closest to the root cause</w:t>
            </w:r>
          </w:p>
        </w:tc>
      </w:tr>
      <w:tr w:rsidR="006D6B50" w:rsidRPr="006D6B50" w14:paraId="513436C5" w14:textId="77777777">
        <w:trPr>
          <w:tblCellSpacing w:w="15" w:type="dxa"/>
        </w:trPr>
        <w:tc>
          <w:tcPr>
            <w:tcW w:w="0" w:type="auto"/>
            <w:vAlign w:val="center"/>
            <w:hideMark/>
          </w:tcPr>
          <w:p w14:paraId="336D8344"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Should qualitative remediation be only RFET’s responsibility?</w:t>
            </w:r>
          </w:p>
        </w:tc>
        <w:tc>
          <w:tcPr>
            <w:tcW w:w="0" w:type="auto"/>
            <w:vAlign w:val="center"/>
            <w:hideMark/>
          </w:tcPr>
          <w:p w14:paraId="0B5183A6"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No. RFET should govern and consolidate, but remediation may be owned by Curve/Surface, RF Generation, Data Quality, Proxy, or Calc depending on the issue</w:t>
            </w:r>
          </w:p>
        </w:tc>
      </w:tr>
      <w:tr w:rsidR="006D6B50" w:rsidRPr="006D6B50" w14:paraId="602871F3" w14:textId="77777777">
        <w:trPr>
          <w:tblCellSpacing w:w="15" w:type="dxa"/>
        </w:trPr>
        <w:tc>
          <w:tcPr>
            <w:tcW w:w="0" w:type="auto"/>
            <w:vAlign w:val="center"/>
            <w:hideMark/>
          </w:tcPr>
          <w:p w14:paraId="5B25F7A2"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Should Calc own qualitative tests?</w:t>
            </w:r>
          </w:p>
        </w:tc>
        <w:tc>
          <w:tcPr>
            <w:tcW w:w="0" w:type="auto"/>
            <w:vAlign w:val="center"/>
            <w:hideMark/>
          </w:tcPr>
          <w:p w14:paraId="5A99FA69"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Calc should consume the final classification, but should not be the primary owner of qualitative pass/fail decisions</w:t>
            </w:r>
          </w:p>
        </w:tc>
      </w:tr>
      <w:tr w:rsidR="006D6B50" w:rsidRPr="006D6B50" w14:paraId="038DCE7E" w14:textId="77777777">
        <w:trPr>
          <w:tblCellSpacing w:w="15" w:type="dxa"/>
        </w:trPr>
        <w:tc>
          <w:tcPr>
            <w:tcW w:w="0" w:type="auto"/>
            <w:vAlign w:val="center"/>
            <w:hideMark/>
          </w:tcPr>
          <w:p w14:paraId="0AA84F06"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Should Data Quality own qualitative tests?</w:t>
            </w:r>
          </w:p>
        </w:tc>
        <w:tc>
          <w:tcPr>
            <w:tcW w:w="0" w:type="auto"/>
            <w:vAlign w:val="center"/>
            <w:hideMark/>
          </w:tcPr>
          <w:p w14:paraId="75EC4130"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Data Quality should own DQ issues and evidence, but not the full qualitative test framework</w:t>
            </w:r>
          </w:p>
        </w:tc>
      </w:tr>
    </w:tbl>
    <w:p w14:paraId="72377B95" w14:textId="77777777" w:rsidR="006D6B50" w:rsidRPr="006D6B50" w:rsidRDefault="006D6B50" w:rsidP="006D6B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6B50">
        <w:rPr>
          <w:rFonts w:ascii="Times New Roman" w:eastAsia="Times New Roman" w:hAnsi="Times New Roman" w:cs="Times New Roman"/>
          <w:b/>
          <w:bCs/>
          <w:kern w:val="0"/>
          <w:sz w:val="27"/>
          <w:szCs w:val="27"/>
          <w14:ligatures w14:val="none"/>
        </w:rPr>
        <w:t>Recommended classification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2634"/>
        <w:gridCol w:w="2056"/>
      </w:tblGrid>
      <w:tr w:rsidR="006D6B50" w:rsidRPr="006D6B50" w14:paraId="58B10463" w14:textId="77777777">
        <w:trPr>
          <w:tblHeader/>
          <w:tblCellSpacing w:w="15" w:type="dxa"/>
        </w:trPr>
        <w:tc>
          <w:tcPr>
            <w:tcW w:w="0" w:type="auto"/>
            <w:vAlign w:val="center"/>
            <w:hideMark/>
          </w:tcPr>
          <w:p w14:paraId="558CEBBA" w14:textId="77777777" w:rsidR="006D6B50" w:rsidRPr="006D6B50" w:rsidRDefault="006D6B50" w:rsidP="006D6B50">
            <w:pPr>
              <w:spacing w:after="0" w:line="240" w:lineRule="auto"/>
              <w:jc w:val="center"/>
              <w:rPr>
                <w:rFonts w:ascii="Times New Roman" w:eastAsia="Times New Roman" w:hAnsi="Times New Roman" w:cs="Times New Roman"/>
                <w:b/>
                <w:bCs/>
                <w:kern w:val="0"/>
                <w14:ligatures w14:val="none"/>
              </w:rPr>
            </w:pPr>
            <w:r w:rsidRPr="006D6B50">
              <w:rPr>
                <w:rFonts w:ascii="Times New Roman" w:eastAsia="Times New Roman" w:hAnsi="Times New Roman" w:cs="Times New Roman"/>
                <w:b/>
                <w:bCs/>
                <w:kern w:val="0"/>
                <w14:ligatures w14:val="none"/>
              </w:rPr>
              <w:t>Qualitative Result</w:t>
            </w:r>
          </w:p>
        </w:tc>
        <w:tc>
          <w:tcPr>
            <w:tcW w:w="0" w:type="auto"/>
            <w:vAlign w:val="center"/>
            <w:hideMark/>
          </w:tcPr>
          <w:p w14:paraId="1A3C2E4B" w14:textId="77777777" w:rsidR="006D6B50" w:rsidRPr="006D6B50" w:rsidRDefault="006D6B50" w:rsidP="006D6B50">
            <w:pPr>
              <w:spacing w:after="0" w:line="240" w:lineRule="auto"/>
              <w:jc w:val="center"/>
              <w:rPr>
                <w:rFonts w:ascii="Times New Roman" w:eastAsia="Times New Roman" w:hAnsi="Times New Roman" w:cs="Times New Roman"/>
                <w:b/>
                <w:bCs/>
                <w:kern w:val="0"/>
                <w14:ligatures w14:val="none"/>
              </w:rPr>
            </w:pPr>
            <w:r w:rsidRPr="006D6B50">
              <w:rPr>
                <w:rFonts w:ascii="Times New Roman" w:eastAsia="Times New Roman" w:hAnsi="Times New Roman" w:cs="Times New Roman"/>
                <w:b/>
                <w:bCs/>
                <w:kern w:val="0"/>
                <w14:ligatures w14:val="none"/>
              </w:rPr>
              <w:t>Quantitative RPO Result</w:t>
            </w:r>
          </w:p>
        </w:tc>
        <w:tc>
          <w:tcPr>
            <w:tcW w:w="0" w:type="auto"/>
            <w:vAlign w:val="center"/>
            <w:hideMark/>
          </w:tcPr>
          <w:p w14:paraId="11C8A00E" w14:textId="77777777" w:rsidR="006D6B50" w:rsidRPr="006D6B50" w:rsidRDefault="006D6B50" w:rsidP="006D6B50">
            <w:pPr>
              <w:spacing w:after="0" w:line="240" w:lineRule="auto"/>
              <w:jc w:val="center"/>
              <w:rPr>
                <w:rFonts w:ascii="Times New Roman" w:eastAsia="Times New Roman" w:hAnsi="Times New Roman" w:cs="Times New Roman"/>
                <w:b/>
                <w:bCs/>
                <w:kern w:val="0"/>
                <w14:ligatures w14:val="none"/>
              </w:rPr>
            </w:pPr>
            <w:r w:rsidRPr="006D6B50">
              <w:rPr>
                <w:rFonts w:ascii="Times New Roman" w:eastAsia="Times New Roman" w:hAnsi="Times New Roman" w:cs="Times New Roman"/>
                <w:b/>
                <w:bCs/>
                <w:kern w:val="0"/>
                <w14:ligatures w14:val="none"/>
              </w:rPr>
              <w:t>Final Classification</w:t>
            </w:r>
          </w:p>
        </w:tc>
      </w:tr>
      <w:tr w:rsidR="006D6B50" w:rsidRPr="006D6B50" w14:paraId="4DBEE79A" w14:textId="77777777">
        <w:trPr>
          <w:tblCellSpacing w:w="15" w:type="dxa"/>
        </w:trPr>
        <w:tc>
          <w:tcPr>
            <w:tcW w:w="0" w:type="auto"/>
            <w:vAlign w:val="center"/>
            <w:hideMark/>
          </w:tcPr>
          <w:p w14:paraId="1A0238DD"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Pass</w:t>
            </w:r>
          </w:p>
        </w:tc>
        <w:tc>
          <w:tcPr>
            <w:tcW w:w="0" w:type="auto"/>
            <w:vAlign w:val="center"/>
            <w:hideMark/>
          </w:tcPr>
          <w:p w14:paraId="624C232A"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Pass</w:t>
            </w:r>
          </w:p>
        </w:tc>
        <w:tc>
          <w:tcPr>
            <w:tcW w:w="0" w:type="auto"/>
            <w:vAlign w:val="center"/>
            <w:hideMark/>
          </w:tcPr>
          <w:p w14:paraId="1DEDFAE5"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Modellable</w:t>
            </w:r>
          </w:p>
        </w:tc>
      </w:tr>
      <w:tr w:rsidR="006D6B50" w:rsidRPr="006D6B50" w14:paraId="6E5E7EB2" w14:textId="77777777">
        <w:trPr>
          <w:tblCellSpacing w:w="15" w:type="dxa"/>
        </w:trPr>
        <w:tc>
          <w:tcPr>
            <w:tcW w:w="0" w:type="auto"/>
            <w:vAlign w:val="center"/>
            <w:hideMark/>
          </w:tcPr>
          <w:p w14:paraId="2FC7D291"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Pass</w:t>
            </w:r>
          </w:p>
        </w:tc>
        <w:tc>
          <w:tcPr>
            <w:tcW w:w="0" w:type="auto"/>
            <w:vAlign w:val="center"/>
            <w:hideMark/>
          </w:tcPr>
          <w:p w14:paraId="1FE5D36D"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Fail</w:t>
            </w:r>
          </w:p>
        </w:tc>
        <w:tc>
          <w:tcPr>
            <w:tcW w:w="0" w:type="auto"/>
            <w:vAlign w:val="center"/>
            <w:hideMark/>
          </w:tcPr>
          <w:p w14:paraId="4EECD2C4"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Type A NMRF</w:t>
            </w:r>
          </w:p>
        </w:tc>
      </w:tr>
      <w:tr w:rsidR="006D6B50" w:rsidRPr="006D6B50" w14:paraId="30A5EC47" w14:textId="77777777">
        <w:trPr>
          <w:tblCellSpacing w:w="15" w:type="dxa"/>
        </w:trPr>
        <w:tc>
          <w:tcPr>
            <w:tcW w:w="0" w:type="auto"/>
            <w:vAlign w:val="center"/>
            <w:hideMark/>
          </w:tcPr>
          <w:p w14:paraId="3A2F562B"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Fail</w:t>
            </w:r>
          </w:p>
        </w:tc>
        <w:tc>
          <w:tcPr>
            <w:tcW w:w="0" w:type="auto"/>
            <w:vAlign w:val="center"/>
            <w:hideMark/>
          </w:tcPr>
          <w:p w14:paraId="450991DA"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 xml:space="preserve">Pass or </w:t>
            </w:r>
            <w:proofErr w:type="gramStart"/>
            <w:r w:rsidRPr="006D6B50">
              <w:rPr>
                <w:rFonts w:ascii="Times New Roman" w:eastAsia="Times New Roman" w:hAnsi="Times New Roman" w:cs="Times New Roman"/>
                <w:kern w:val="0"/>
                <w14:ligatures w14:val="none"/>
              </w:rPr>
              <w:t>Fail</w:t>
            </w:r>
            <w:proofErr w:type="gramEnd"/>
          </w:p>
        </w:tc>
        <w:tc>
          <w:tcPr>
            <w:tcW w:w="0" w:type="auto"/>
            <w:vAlign w:val="center"/>
            <w:hideMark/>
          </w:tcPr>
          <w:p w14:paraId="1B2D370F"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Type B NMRF</w:t>
            </w:r>
          </w:p>
        </w:tc>
      </w:tr>
    </w:tbl>
    <w:p w14:paraId="6866319D" w14:textId="77777777" w:rsidR="006D6B50" w:rsidRPr="006D6B50" w:rsidRDefault="006D6B50" w:rsidP="006D6B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6B50">
        <w:rPr>
          <w:rFonts w:ascii="Times New Roman" w:eastAsia="Times New Roman" w:hAnsi="Times New Roman" w:cs="Times New Roman"/>
          <w:b/>
          <w:bCs/>
          <w:kern w:val="0"/>
          <w:sz w:val="27"/>
          <w:szCs w:val="27"/>
          <w14:ligatures w14:val="none"/>
        </w:rPr>
        <w:t>Recommended operating model</w:t>
      </w:r>
    </w:p>
    <w:p w14:paraId="338A3B5D" w14:textId="77777777" w:rsidR="006D6B50" w:rsidRPr="006D6B50" w:rsidRDefault="006D6B50" w:rsidP="006D6B50">
      <w:pPr>
        <w:spacing w:before="100" w:beforeAutospacing="1" w:after="100" w:afterAutospacing="1"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lastRenderedPageBreak/>
        <w:t>I would structure RFET as the final classification layer, with two sub-components underneath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2"/>
        <w:gridCol w:w="6848"/>
      </w:tblGrid>
      <w:tr w:rsidR="006D6B50" w:rsidRPr="006D6B50" w14:paraId="6CFF8578" w14:textId="77777777">
        <w:trPr>
          <w:tblHeader/>
          <w:tblCellSpacing w:w="15" w:type="dxa"/>
        </w:trPr>
        <w:tc>
          <w:tcPr>
            <w:tcW w:w="0" w:type="auto"/>
            <w:vAlign w:val="center"/>
            <w:hideMark/>
          </w:tcPr>
          <w:p w14:paraId="591424C4" w14:textId="77777777" w:rsidR="006D6B50" w:rsidRPr="006D6B50" w:rsidRDefault="006D6B50" w:rsidP="006D6B50">
            <w:pPr>
              <w:spacing w:after="0" w:line="240" w:lineRule="auto"/>
              <w:jc w:val="center"/>
              <w:rPr>
                <w:rFonts w:ascii="Times New Roman" w:eastAsia="Times New Roman" w:hAnsi="Times New Roman" w:cs="Times New Roman"/>
                <w:b/>
                <w:bCs/>
                <w:kern w:val="0"/>
                <w14:ligatures w14:val="none"/>
              </w:rPr>
            </w:pPr>
            <w:r w:rsidRPr="006D6B50">
              <w:rPr>
                <w:rFonts w:ascii="Times New Roman" w:eastAsia="Times New Roman" w:hAnsi="Times New Roman" w:cs="Times New Roman"/>
                <w:b/>
                <w:bCs/>
                <w:kern w:val="0"/>
                <w14:ligatures w14:val="none"/>
              </w:rPr>
              <w:t>RFET Component</w:t>
            </w:r>
          </w:p>
        </w:tc>
        <w:tc>
          <w:tcPr>
            <w:tcW w:w="0" w:type="auto"/>
            <w:vAlign w:val="center"/>
            <w:hideMark/>
          </w:tcPr>
          <w:p w14:paraId="74D36611" w14:textId="77777777" w:rsidR="006D6B50" w:rsidRPr="006D6B50" w:rsidRDefault="006D6B50" w:rsidP="006D6B50">
            <w:pPr>
              <w:spacing w:after="0" w:line="240" w:lineRule="auto"/>
              <w:jc w:val="center"/>
              <w:rPr>
                <w:rFonts w:ascii="Times New Roman" w:eastAsia="Times New Roman" w:hAnsi="Times New Roman" w:cs="Times New Roman"/>
                <w:b/>
                <w:bCs/>
                <w:kern w:val="0"/>
                <w14:ligatures w14:val="none"/>
              </w:rPr>
            </w:pPr>
            <w:r w:rsidRPr="006D6B50">
              <w:rPr>
                <w:rFonts w:ascii="Times New Roman" w:eastAsia="Times New Roman" w:hAnsi="Times New Roman" w:cs="Times New Roman"/>
                <w:b/>
                <w:bCs/>
                <w:kern w:val="0"/>
                <w14:ligatures w14:val="none"/>
              </w:rPr>
              <w:t>Purpose</w:t>
            </w:r>
          </w:p>
        </w:tc>
      </w:tr>
      <w:tr w:rsidR="006D6B50" w:rsidRPr="006D6B50" w14:paraId="59917ECB" w14:textId="77777777">
        <w:trPr>
          <w:tblCellSpacing w:w="15" w:type="dxa"/>
        </w:trPr>
        <w:tc>
          <w:tcPr>
            <w:tcW w:w="0" w:type="auto"/>
            <w:vAlign w:val="center"/>
            <w:hideMark/>
          </w:tcPr>
          <w:p w14:paraId="21B050FF"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Quantitative RFET / RPO Workstream</w:t>
            </w:r>
          </w:p>
        </w:tc>
        <w:tc>
          <w:tcPr>
            <w:tcW w:w="0" w:type="auto"/>
            <w:vAlign w:val="center"/>
            <w:hideMark/>
          </w:tcPr>
          <w:p w14:paraId="041FF89E"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Build and operate the RPO platform, RPO normalization, bucketing, RPO-to-RF mapping, counting engine, and quantitative pass/fail result</w:t>
            </w:r>
          </w:p>
        </w:tc>
      </w:tr>
      <w:tr w:rsidR="006D6B50" w:rsidRPr="006D6B50" w14:paraId="61A057FE" w14:textId="77777777">
        <w:trPr>
          <w:tblCellSpacing w:w="15" w:type="dxa"/>
        </w:trPr>
        <w:tc>
          <w:tcPr>
            <w:tcW w:w="0" w:type="auto"/>
            <w:vAlign w:val="center"/>
            <w:hideMark/>
          </w:tcPr>
          <w:p w14:paraId="3DBA10D5"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Qualitative RFET / Readiness Workstream</w:t>
            </w:r>
          </w:p>
        </w:tc>
        <w:tc>
          <w:tcPr>
            <w:tcW w:w="0" w:type="auto"/>
            <w:vAlign w:val="center"/>
            <w:hideMark/>
          </w:tcPr>
          <w:p w14:paraId="2624821D"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Store the six qualitative test outcomes, evidence, approvals, and remediation status; coordinate remediation with the relevant upstream workstream</w:t>
            </w:r>
          </w:p>
        </w:tc>
      </w:tr>
    </w:tbl>
    <w:p w14:paraId="5F5C93B9" w14:textId="77777777" w:rsidR="006D6B50" w:rsidRPr="006D6B50" w:rsidRDefault="006D6B50" w:rsidP="006D6B50">
      <w:pPr>
        <w:spacing w:before="100" w:beforeAutospacing="1" w:after="100" w:afterAutospacing="1"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For the qualitative tests, I would split the work into two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7432"/>
      </w:tblGrid>
      <w:tr w:rsidR="006D6B50" w:rsidRPr="006D6B50" w14:paraId="110294B6" w14:textId="77777777">
        <w:trPr>
          <w:tblHeader/>
          <w:tblCellSpacing w:w="15" w:type="dxa"/>
        </w:trPr>
        <w:tc>
          <w:tcPr>
            <w:tcW w:w="0" w:type="auto"/>
            <w:vAlign w:val="center"/>
            <w:hideMark/>
          </w:tcPr>
          <w:p w14:paraId="7D9C01FC" w14:textId="77777777" w:rsidR="006D6B50" w:rsidRPr="006D6B50" w:rsidRDefault="006D6B50" w:rsidP="006D6B50">
            <w:pPr>
              <w:spacing w:after="0" w:line="240" w:lineRule="auto"/>
              <w:jc w:val="center"/>
              <w:rPr>
                <w:rFonts w:ascii="Times New Roman" w:eastAsia="Times New Roman" w:hAnsi="Times New Roman" w:cs="Times New Roman"/>
                <w:b/>
                <w:bCs/>
                <w:kern w:val="0"/>
                <w14:ligatures w14:val="none"/>
              </w:rPr>
            </w:pPr>
            <w:r w:rsidRPr="006D6B50">
              <w:rPr>
                <w:rFonts w:ascii="Times New Roman" w:eastAsia="Times New Roman" w:hAnsi="Times New Roman" w:cs="Times New Roman"/>
                <w:b/>
                <w:bCs/>
                <w:kern w:val="0"/>
                <w14:ligatures w14:val="none"/>
              </w:rPr>
              <w:t>Layer</w:t>
            </w:r>
          </w:p>
        </w:tc>
        <w:tc>
          <w:tcPr>
            <w:tcW w:w="0" w:type="auto"/>
            <w:vAlign w:val="center"/>
            <w:hideMark/>
          </w:tcPr>
          <w:p w14:paraId="65052252" w14:textId="77777777" w:rsidR="006D6B50" w:rsidRPr="006D6B50" w:rsidRDefault="006D6B50" w:rsidP="006D6B50">
            <w:pPr>
              <w:spacing w:after="0" w:line="240" w:lineRule="auto"/>
              <w:jc w:val="center"/>
              <w:rPr>
                <w:rFonts w:ascii="Times New Roman" w:eastAsia="Times New Roman" w:hAnsi="Times New Roman" w:cs="Times New Roman"/>
                <w:b/>
                <w:bCs/>
                <w:kern w:val="0"/>
                <w14:ligatures w14:val="none"/>
              </w:rPr>
            </w:pPr>
            <w:r w:rsidRPr="006D6B50">
              <w:rPr>
                <w:rFonts w:ascii="Times New Roman" w:eastAsia="Times New Roman" w:hAnsi="Times New Roman" w:cs="Times New Roman"/>
                <w:b/>
                <w:bCs/>
                <w:kern w:val="0"/>
                <w14:ligatures w14:val="none"/>
              </w:rPr>
              <w:t>Description</w:t>
            </w:r>
          </w:p>
        </w:tc>
      </w:tr>
      <w:tr w:rsidR="006D6B50" w:rsidRPr="006D6B50" w14:paraId="2CE2F633" w14:textId="77777777">
        <w:trPr>
          <w:tblCellSpacing w:w="15" w:type="dxa"/>
        </w:trPr>
        <w:tc>
          <w:tcPr>
            <w:tcW w:w="0" w:type="auto"/>
            <w:vAlign w:val="center"/>
            <w:hideMark/>
          </w:tcPr>
          <w:p w14:paraId="2B0FB354"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Qualitative metadata layer</w:t>
            </w:r>
          </w:p>
        </w:tc>
        <w:tc>
          <w:tcPr>
            <w:tcW w:w="0" w:type="auto"/>
            <w:vAlign w:val="center"/>
            <w:hideMark/>
          </w:tcPr>
          <w:p w14:paraId="145F739C"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RFET stores the pass/fail result for each of the six qualitative tests, including evidence, reviewer, date, comments, and impacted RFs</w:t>
            </w:r>
          </w:p>
        </w:tc>
      </w:tr>
      <w:tr w:rsidR="006D6B50" w:rsidRPr="006D6B50" w14:paraId="00C04C8C" w14:textId="77777777">
        <w:trPr>
          <w:tblCellSpacing w:w="15" w:type="dxa"/>
        </w:trPr>
        <w:tc>
          <w:tcPr>
            <w:tcW w:w="0" w:type="auto"/>
            <w:vAlign w:val="center"/>
            <w:hideMark/>
          </w:tcPr>
          <w:p w14:paraId="1A0BC3CB"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Qualitative remediation layer</w:t>
            </w:r>
          </w:p>
        </w:tc>
        <w:tc>
          <w:tcPr>
            <w:tcW w:w="0" w:type="auto"/>
            <w:vAlign w:val="center"/>
            <w:hideMark/>
          </w:tcPr>
          <w:p w14:paraId="5062FE3D" w14:textId="77777777" w:rsidR="006D6B50" w:rsidRPr="006D6B50" w:rsidRDefault="006D6B50" w:rsidP="006D6B50">
            <w:pPr>
              <w:spacing w:after="0"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Failed tests are remediated by the responsible build area: Curve/Surface, RF Generation, Data Quality, Proxy Framework, or other future readiness workstreams</w:t>
            </w:r>
          </w:p>
        </w:tc>
      </w:tr>
    </w:tbl>
    <w:p w14:paraId="6C4536ED" w14:textId="77777777" w:rsidR="006D6B50" w:rsidRPr="006D6B50" w:rsidRDefault="006D6B50" w:rsidP="006D6B50">
      <w:pPr>
        <w:spacing w:before="100" w:beforeAutospacing="1" w:after="100" w:afterAutospacing="1"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Currently, the first two workstreams — Curve/Surface Generation and RF Generation / Scenarios — appear to address some of the failed qualitative tests. Additional workstreams will likely be needed for proxy methodology, beta adjustments, scaling factors, derived risk factors, history extension, and other items depending on the final interpretation of the qualitative methodology.</w:t>
      </w:r>
    </w:p>
    <w:p w14:paraId="36591869" w14:textId="77777777" w:rsidR="006D6B50" w:rsidRPr="006D6B50" w:rsidRDefault="006D6B50" w:rsidP="006D6B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6B50">
        <w:rPr>
          <w:rFonts w:ascii="Times New Roman" w:eastAsia="Times New Roman" w:hAnsi="Times New Roman" w:cs="Times New Roman"/>
          <w:b/>
          <w:bCs/>
          <w:kern w:val="0"/>
          <w:sz w:val="27"/>
          <w:szCs w:val="27"/>
          <w14:ligatures w14:val="none"/>
        </w:rPr>
        <w:t>Simple recommendation</w:t>
      </w:r>
    </w:p>
    <w:p w14:paraId="130A5255" w14:textId="77777777" w:rsidR="006D6B50" w:rsidRPr="006D6B50" w:rsidRDefault="006D6B50" w:rsidP="006D6B50">
      <w:pPr>
        <w:spacing w:before="100" w:beforeAutospacing="1" w:after="100" w:afterAutospacing="1"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My recommendation is:</w:t>
      </w:r>
    </w:p>
    <w:p w14:paraId="0E0546B9" w14:textId="77777777" w:rsidR="006D6B50" w:rsidRPr="006D6B50" w:rsidRDefault="006D6B50" w:rsidP="006D6B50">
      <w:pPr>
        <w:spacing w:before="100" w:beforeAutospacing="1" w:after="100" w:afterAutospacing="1"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b/>
          <w:bCs/>
          <w:kern w:val="0"/>
          <w14:ligatures w14:val="none"/>
        </w:rPr>
        <w:t>RFET should own the final label.</w:t>
      </w:r>
      <w:r w:rsidRPr="006D6B50">
        <w:rPr>
          <w:rFonts w:ascii="Times New Roman" w:eastAsia="Times New Roman" w:hAnsi="Times New Roman" w:cs="Times New Roman"/>
          <w:b/>
          <w:bCs/>
          <w:kern w:val="0"/>
          <w14:ligatures w14:val="none"/>
        </w:rPr>
        <w:br/>
        <w:t>RPO work should own the quantitative result.</w:t>
      </w:r>
      <w:r w:rsidRPr="006D6B50">
        <w:rPr>
          <w:rFonts w:ascii="Times New Roman" w:eastAsia="Times New Roman" w:hAnsi="Times New Roman" w:cs="Times New Roman"/>
          <w:b/>
          <w:bCs/>
          <w:kern w:val="0"/>
          <w14:ligatures w14:val="none"/>
        </w:rPr>
        <w:br/>
        <w:t>The qualitative framework should sit under RFET for governance and evidence.</w:t>
      </w:r>
      <w:r w:rsidRPr="006D6B50">
        <w:rPr>
          <w:rFonts w:ascii="Times New Roman" w:eastAsia="Times New Roman" w:hAnsi="Times New Roman" w:cs="Times New Roman"/>
          <w:b/>
          <w:bCs/>
          <w:kern w:val="0"/>
          <w14:ligatures w14:val="none"/>
        </w:rPr>
        <w:br/>
        <w:t>The remediation work should be executed by the workstream that owns the root cause.</w:t>
      </w:r>
    </w:p>
    <w:p w14:paraId="7B76D163" w14:textId="77777777" w:rsidR="006D6B50" w:rsidRPr="006D6B50" w:rsidRDefault="006D6B50" w:rsidP="006D6B50">
      <w:pPr>
        <w:spacing w:before="100" w:beforeAutospacing="1" w:after="100" w:afterAutospacing="1"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This gives us a clean operating model:</w:t>
      </w:r>
    </w:p>
    <w:p w14:paraId="184BCD49" w14:textId="77777777" w:rsidR="006D6B50" w:rsidRPr="006D6B50" w:rsidRDefault="006D6B50" w:rsidP="006D6B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Risk factors are generated by RFDM/MARS or MDSOR/EMR.</w:t>
      </w:r>
    </w:p>
    <w:p w14:paraId="2F0F28FC" w14:textId="77777777" w:rsidR="006D6B50" w:rsidRPr="006D6B50" w:rsidRDefault="006D6B50" w:rsidP="006D6B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RPOs produce the quantitative RFET result.</w:t>
      </w:r>
    </w:p>
    <w:p w14:paraId="73A41F9D" w14:textId="77777777" w:rsidR="006D6B50" w:rsidRPr="006D6B50" w:rsidRDefault="006D6B50" w:rsidP="006D6B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Qualitative tests produce the qualitative pass/fail result.</w:t>
      </w:r>
    </w:p>
    <w:p w14:paraId="7A5DC297" w14:textId="77777777" w:rsidR="006D6B50" w:rsidRPr="006D6B50" w:rsidRDefault="006D6B50" w:rsidP="006D6B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Failed qualitative tests trigger remediation in the relevant workstream.</w:t>
      </w:r>
    </w:p>
    <w:p w14:paraId="79FF2518" w14:textId="77777777" w:rsidR="006D6B50" w:rsidRPr="006D6B50" w:rsidRDefault="006D6B50" w:rsidP="006D6B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RFET consolidates both results into the final classification:</w:t>
      </w:r>
    </w:p>
    <w:p w14:paraId="4C3F0EDE" w14:textId="77777777" w:rsidR="006D6B50" w:rsidRPr="006D6B50" w:rsidRDefault="006D6B50" w:rsidP="006D6B50">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Modellable</w:t>
      </w:r>
    </w:p>
    <w:p w14:paraId="2A2A2BF3" w14:textId="77777777" w:rsidR="006D6B50" w:rsidRPr="006D6B50" w:rsidRDefault="006D6B50" w:rsidP="006D6B50">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Type A NMRF</w:t>
      </w:r>
    </w:p>
    <w:p w14:paraId="2EE4BFD4" w14:textId="77777777" w:rsidR="006D6B50" w:rsidRPr="006D6B50" w:rsidRDefault="006D6B50" w:rsidP="006D6B50">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Type B NMRF</w:t>
      </w:r>
    </w:p>
    <w:p w14:paraId="189FE47C" w14:textId="77777777" w:rsidR="006D6B50" w:rsidRPr="006D6B50" w:rsidRDefault="006D6B50" w:rsidP="006D6B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lastRenderedPageBreak/>
        <w:t xml:space="preserve">Calc consumes the final classification for ES, SES, NMRF capital, </w:t>
      </w:r>
      <w:proofErr w:type="spellStart"/>
      <w:r w:rsidRPr="006D6B50">
        <w:rPr>
          <w:rFonts w:ascii="Times New Roman" w:eastAsia="Times New Roman" w:hAnsi="Times New Roman" w:cs="Times New Roman"/>
          <w:kern w:val="0"/>
          <w14:ligatures w14:val="none"/>
        </w:rPr>
        <w:t>backtesting</w:t>
      </w:r>
      <w:proofErr w:type="spellEnd"/>
      <w:r w:rsidRPr="006D6B50">
        <w:rPr>
          <w:rFonts w:ascii="Times New Roman" w:eastAsia="Times New Roman" w:hAnsi="Times New Roman" w:cs="Times New Roman"/>
          <w:kern w:val="0"/>
          <w14:ligatures w14:val="none"/>
        </w:rPr>
        <w:t>, and reporting.</w:t>
      </w:r>
    </w:p>
    <w:p w14:paraId="490D32ED" w14:textId="77777777" w:rsidR="006D6B50" w:rsidRPr="006D6B50" w:rsidRDefault="006D6B50" w:rsidP="006D6B50">
      <w:pPr>
        <w:spacing w:before="100" w:beforeAutospacing="1" w:after="100" w:afterAutospacing="1"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 xml:space="preserve">This keeps the model simple: </w:t>
      </w:r>
      <w:r w:rsidRPr="006D6B50">
        <w:rPr>
          <w:rFonts w:ascii="Times New Roman" w:eastAsia="Times New Roman" w:hAnsi="Times New Roman" w:cs="Times New Roman"/>
          <w:b/>
          <w:bCs/>
          <w:kern w:val="0"/>
          <w14:ligatures w14:val="none"/>
        </w:rPr>
        <w:t>RFET is the classification and evidence hub, while upstream workstreams own the remediation required to make the risk factors IMA-ready.</w:t>
      </w:r>
    </w:p>
    <w:p w14:paraId="1A678BB0" w14:textId="77777777" w:rsidR="006D6B50" w:rsidRPr="006D6B50" w:rsidRDefault="006D6B50" w:rsidP="006D6B50">
      <w:pPr>
        <w:spacing w:before="100" w:beforeAutospacing="1" w:after="100" w:afterAutospacing="1"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Thanks,</w:t>
      </w:r>
      <w:r w:rsidRPr="006D6B50">
        <w:rPr>
          <w:rFonts w:ascii="Times New Roman" w:eastAsia="Times New Roman" w:hAnsi="Times New Roman" w:cs="Times New Roman"/>
          <w:kern w:val="0"/>
          <w14:ligatures w14:val="none"/>
        </w:rPr>
        <w:br/>
        <w:t>Amine</w:t>
      </w:r>
    </w:p>
    <w:p w14:paraId="11668D65" w14:textId="77777777" w:rsidR="006D6B50" w:rsidRPr="006D6B50" w:rsidRDefault="006D6B50" w:rsidP="006D6B50">
      <w:pPr>
        <w:spacing w:before="100" w:beforeAutospacing="1" w:after="100" w:afterAutospacing="1" w:line="240" w:lineRule="auto"/>
        <w:rPr>
          <w:rFonts w:ascii="Times New Roman" w:eastAsia="Times New Roman" w:hAnsi="Times New Roman" w:cs="Times New Roman"/>
          <w:kern w:val="0"/>
          <w14:ligatures w14:val="none"/>
        </w:rPr>
      </w:pPr>
      <w:r w:rsidRPr="006D6B50">
        <w:rPr>
          <w:rFonts w:ascii="Times New Roman" w:eastAsia="Times New Roman" w:hAnsi="Times New Roman" w:cs="Times New Roman"/>
          <w:kern w:val="0"/>
          <w14:ligatures w14:val="none"/>
        </w:rPr>
        <w:t>This framing is consistent with the FRTB IMA structure: trading desks must satisfy ongoing PLA/</w:t>
      </w:r>
      <w:proofErr w:type="spellStart"/>
      <w:r w:rsidRPr="006D6B50">
        <w:rPr>
          <w:rFonts w:ascii="Times New Roman" w:eastAsia="Times New Roman" w:hAnsi="Times New Roman" w:cs="Times New Roman"/>
          <w:kern w:val="0"/>
          <w14:ligatures w14:val="none"/>
        </w:rPr>
        <w:t>backtesting</w:t>
      </w:r>
      <w:proofErr w:type="spellEnd"/>
      <w:r w:rsidRPr="006D6B50">
        <w:rPr>
          <w:rFonts w:ascii="Times New Roman" w:eastAsia="Times New Roman" w:hAnsi="Times New Roman" w:cs="Times New Roman"/>
          <w:kern w:val="0"/>
          <w14:ligatures w14:val="none"/>
        </w:rPr>
        <w:t xml:space="preserve"> requirements, </w:t>
      </w:r>
      <w:proofErr w:type="spellStart"/>
      <w:r w:rsidRPr="006D6B50">
        <w:rPr>
          <w:rFonts w:ascii="Times New Roman" w:eastAsia="Times New Roman" w:hAnsi="Times New Roman" w:cs="Times New Roman"/>
          <w:kern w:val="0"/>
          <w14:ligatures w14:val="none"/>
        </w:rPr>
        <w:t>modellability</w:t>
      </w:r>
      <w:proofErr w:type="spellEnd"/>
      <w:r w:rsidRPr="006D6B50">
        <w:rPr>
          <w:rFonts w:ascii="Times New Roman" w:eastAsia="Times New Roman" w:hAnsi="Times New Roman" w:cs="Times New Roman"/>
          <w:kern w:val="0"/>
          <w14:ligatures w14:val="none"/>
        </w:rPr>
        <w:t xml:space="preserve"> determines whether risk factors can be included in the modellable ES framework, and non-modellable risk factors require separate capital treatment. (</w:t>
      </w:r>
      <w:hyperlink r:id="rId5" w:tooltip="MAR30 - Internal models approach: general provisions" w:history="1">
        <w:r w:rsidRPr="006D6B50">
          <w:rPr>
            <w:rFonts w:ascii="Times New Roman" w:eastAsia="Times New Roman" w:hAnsi="Times New Roman" w:cs="Times New Roman"/>
            <w:color w:val="0000FF"/>
            <w:kern w:val="0"/>
            <w:u w:val="single"/>
            <w14:ligatures w14:val="none"/>
          </w:rPr>
          <w:t>bis.org</w:t>
        </w:r>
      </w:hyperlink>
      <w:r w:rsidRPr="006D6B50">
        <w:rPr>
          <w:rFonts w:ascii="Times New Roman" w:eastAsia="Times New Roman" w:hAnsi="Times New Roman" w:cs="Times New Roman"/>
          <w:kern w:val="0"/>
          <w14:ligatures w14:val="none"/>
        </w:rPr>
        <w:t>)</w:t>
      </w:r>
    </w:p>
    <w:p w14:paraId="1C0D6C56" w14:textId="77777777" w:rsidR="006D6B50" w:rsidRDefault="006D6B50"/>
    <w:sectPr w:rsidR="006D6B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853C3"/>
    <w:multiLevelType w:val="multilevel"/>
    <w:tmpl w:val="54444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F433A8"/>
    <w:multiLevelType w:val="multilevel"/>
    <w:tmpl w:val="E90AE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5427829">
    <w:abstractNumId w:val="1"/>
  </w:num>
  <w:num w:numId="2" w16cid:durableId="1455980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B50"/>
    <w:rsid w:val="006D6B50"/>
    <w:rsid w:val="00F22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17A73"/>
  <w15:chartTrackingRefBased/>
  <w15:docId w15:val="{1D20DCD8-DD3C-4D98-899C-278F5EC07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B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6B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D6B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6B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6B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6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B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6B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D6B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6B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6B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6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B50"/>
    <w:rPr>
      <w:rFonts w:eastAsiaTheme="majorEastAsia" w:cstheme="majorBidi"/>
      <w:color w:val="272727" w:themeColor="text1" w:themeTint="D8"/>
    </w:rPr>
  </w:style>
  <w:style w:type="paragraph" w:styleId="Title">
    <w:name w:val="Title"/>
    <w:basedOn w:val="Normal"/>
    <w:next w:val="Normal"/>
    <w:link w:val="TitleChar"/>
    <w:uiPriority w:val="10"/>
    <w:qFormat/>
    <w:rsid w:val="006D6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B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B50"/>
    <w:pPr>
      <w:spacing w:before="160"/>
      <w:jc w:val="center"/>
    </w:pPr>
    <w:rPr>
      <w:i/>
      <w:iCs/>
      <w:color w:val="404040" w:themeColor="text1" w:themeTint="BF"/>
    </w:rPr>
  </w:style>
  <w:style w:type="character" w:customStyle="1" w:styleId="QuoteChar">
    <w:name w:val="Quote Char"/>
    <w:basedOn w:val="DefaultParagraphFont"/>
    <w:link w:val="Quote"/>
    <w:uiPriority w:val="29"/>
    <w:rsid w:val="006D6B50"/>
    <w:rPr>
      <w:i/>
      <w:iCs/>
      <w:color w:val="404040" w:themeColor="text1" w:themeTint="BF"/>
    </w:rPr>
  </w:style>
  <w:style w:type="paragraph" w:styleId="ListParagraph">
    <w:name w:val="List Paragraph"/>
    <w:basedOn w:val="Normal"/>
    <w:uiPriority w:val="34"/>
    <w:qFormat/>
    <w:rsid w:val="006D6B50"/>
    <w:pPr>
      <w:ind w:left="720"/>
      <w:contextualSpacing/>
    </w:pPr>
  </w:style>
  <w:style w:type="character" w:styleId="IntenseEmphasis">
    <w:name w:val="Intense Emphasis"/>
    <w:basedOn w:val="DefaultParagraphFont"/>
    <w:uiPriority w:val="21"/>
    <w:qFormat/>
    <w:rsid w:val="006D6B50"/>
    <w:rPr>
      <w:i/>
      <w:iCs/>
      <w:color w:val="2F5496" w:themeColor="accent1" w:themeShade="BF"/>
    </w:rPr>
  </w:style>
  <w:style w:type="paragraph" w:styleId="IntenseQuote">
    <w:name w:val="Intense Quote"/>
    <w:basedOn w:val="Normal"/>
    <w:next w:val="Normal"/>
    <w:link w:val="IntenseQuoteChar"/>
    <w:uiPriority w:val="30"/>
    <w:qFormat/>
    <w:rsid w:val="006D6B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6B50"/>
    <w:rPr>
      <w:i/>
      <w:iCs/>
      <w:color w:val="2F5496" w:themeColor="accent1" w:themeShade="BF"/>
    </w:rPr>
  </w:style>
  <w:style w:type="character" w:styleId="IntenseReference">
    <w:name w:val="Intense Reference"/>
    <w:basedOn w:val="DefaultParagraphFont"/>
    <w:uiPriority w:val="32"/>
    <w:qFormat/>
    <w:rsid w:val="006D6B50"/>
    <w:rPr>
      <w:b/>
      <w:bCs/>
      <w:smallCaps/>
      <w:color w:val="2F5496" w:themeColor="accent1" w:themeShade="BF"/>
      <w:spacing w:val="5"/>
    </w:rPr>
  </w:style>
  <w:style w:type="paragraph" w:styleId="NormalWeb">
    <w:name w:val="Normal (Web)"/>
    <w:basedOn w:val="Normal"/>
    <w:uiPriority w:val="99"/>
    <w:semiHidden/>
    <w:unhideWhenUsed/>
    <w:rsid w:val="006D6B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D6B50"/>
    <w:rPr>
      <w:b/>
      <w:bCs/>
    </w:rPr>
  </w:style>
  <w:style w:type="character" w:styleId="Hyperlink">
    <w:name w:val="Hyperlink"/>
    <w:basedOn w:val="DefaultParagraphFont"/>
    <w:uiPriority w:val="99"/>
    <w:semiHidden/>
    <w:unhideWhenUsed/>
    <w:rsid w:val="006D6B5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s.org/basel_framework/chapter/MAR/30.ht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954</Words>
  <Characters>5440</Characters>
  <Application>Microsoft Office Word</Application>
  <DocSecurity>0</DocSecurity>
  <Lines>45</Lines>
  <Paragraphs>12</Paragraphs>
  <ScaleCrop>false</ScaleCrop>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CHOUKRI ABDELILAH</dc:creator>
  <cp:keywords/>
  <dc:description/>
  <cp:lastModifiedBy>CHOUKRI ABDELILAH</cp:lastModifiedBy>
  <cp:revision>1</cp:revision>
  <dcterms:created xsi:type="dcterms:W3CDTF">2026-07-17T12:17:00Z</dcterms:created>
  <dcterms:modified xsi:type="dcterms:W3CDTF">2026-07-17T12:18:00Z</dcterms:modified>
</cp:coreProperties>
</file>