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7964" w14:textId="77777777" w:rsidR="008D0D30" w:rsidRDefault="008D0D30" w:rsidP="008D0D30">
      <w:pPr>
        <w:pStyle w:val="NormalWeb"/>
      </w:pPr>
      <w:r>
        <w:t>Hi all,</w:t>
      </w:r>
    </w:p>
    <w:p w14:paraId="4234D9B4" w14:textId="77777777" w:rsidR="008D0D30" w:rsidRDefault="008D0D30" w:rsidP="008D0D30">
      <w:pPr>
        <w:pStyle w:val="NormalWeb"/>
      </w:pPr>
      <w:r>
        <w:t>I think the proposed approach provides a good foundation for the Qualitative Test, particularly around Data Quality monitoring. I believe we should enhance it further to ensure we can demonstrate RF-level regulatory eligibility. A few gaps I see:</w:t>
      </w:r>
    </w:p>
    <w:p w14:paraId="05051C16" w14:textId="5FF21087" w:rsidR="009B68F0" w:rsidRDefault="00A03676" w:rsidP="009B68F0">
      <w:pPr>
        <w:pStyle w:val="NormalWeb"/>
      </w:pPr>
      <w:r>
        <w:t xml:space="preserve">Does anyone have any additional comments on the approach we are taking for the </w:t>
      </w:r>
      <w:r>
        <w:rPr>
          <w:rStyle w:val="Strong"/>
          <w:rFonts w:eastAsiaTheme="majorEastAsia"/>
        </w:rPr>
        <w:t>Qualitative Test and ultimately determining Type B</w:t>
      </w:r>
      <w:r>
        <w:t>?</w:t>
      </w:r>
      <w:r w:rsidR="009B68F0">
        <w:br/>
      </w:r>
      <w:r w:rsidR="009B68F0">
        <w:t xml:space="preserve">A few </w:t>
      </w:r>
      <w:r w:rsidR="00DD5899">
        <w:t xml:space="preserve">gaps that still can be enhanced in our approach </w:t>
      </w:r>
      <w:r w:rsidR="009B68F0">
        <w:t>:</w:t>
      </w:r>
    </w:p>
    <w:p w14:paraId="45138DE1" w14:textId="301322C7" w:rsidR="00A03676" w:rsidRDefault="00A03676" w:rsidP="00A03676">
      <w:pPr>
        <w:pStyle w:val="NormalWeb"/>
      </w:pPr>
    </w:p>
    <w:p w14:paraId="20565A0A" w14:textId="77777777" w:rsidR="00EC1BB3" w:rsidRDefault="00EC1BB3" w:rsidP="00EC1BB3">
      <w:pPr>
        <w:pStyle w:val="NormalWeb"/>
      </w:pPr>
      <w:r>
        <w:rPr>
          <w:rStyle w:val="Strong"/>
          <w:rFonts w:eastAsiaTheme="majorEastAsia"/>
        </w:rPr>
        <w:t>Separate note on Gold vs. Platinum:</w:t>
      </w:r>
      <w:r>
        <w:t xml:space="preserve"> I don't view the naming itself as a showstopper. We could potentially retain “Gold” and still achieve the same objective. From an MDSOR perspective, Gold and Platinum are essentially different namespaces/layers—similar to </w:t>
      </w:r>
      <w:r>
        <w:rPr>
          <w:rStyle w:val="HTMLCode"/>
          <w:rFonts w:eastAsiaTheme="majorEastAsia"/>
        </w:rPr>
        <w:t>/</w:t>
      </w:r>
      <w:proofErr w:type="spellStart"/>
      <w:r>
        <w:rPr>
          <w:rStyle w:val="HTMLCode"/>
          <w:rFonts w:eastAsiaTheme="majorEastAsia"/>
        </w:rPr>
        <w:t>IRRate</w:t>
      </w:r>
      <w:proofErr w:type="spellEnd"/>
      <w:r>
        <w:rPr>
          <w:rStyle w:val="HTMLCode"/>
          <w:rFonts w:eastAsiaTheme="majorEastAsia"/>
        </w:rPr>
        <w:t>/Curve/.../Gold</w:t>
      </w:r>
      <w:r>
        <w:t xml:space="preserve"> and </w:t>
      </w:r>
      <w:r>
        <w:rPr>
          <w:rStyle w:val="HTMLCode"/>
          <w:rFonts w:eastAsiaTheme="majorEastAsia"/>
        </w:rPr>
        <w:t>/</w:t>
      </w:r>
      <w:proofErr w:type="spellStart"/>
      <w:r>
        <w:rPr>
          <w:rStyle w:val="HTMLCode"/>
          <w:rFonts w:eastAsiaTheme="majorEastAsia"/>
        </w:rPr>
        <w:t>IRRate</w:t>
      </w:r>
      <w:proofErr w:type="spellEnd"/>
      <w:r>
        <w:rPr>
          <w:rStyle w:val="HTMLCode"/>
          <w:rFonts w:eastAsiaTheme="majorEastAsia"/>
        </w:rPr>
        <w:t>/Curve/.../Platinum</w:t>
      </w:r>
      <w:r>
        <w:t>—where MDOs are stored/retrieved using different keys.</w:t>
      </w:r>
    </w:p>
    <w:p w14:paraId="2BC8E735" w14:textId="77777777" w:rsidR="00EC1BB3" w:rsidRDefault="00EC1BB3" w:rsidP="00EC1BB3">
      <w:pPr>
        <w:pStyle w:val="NormalWeb"/>
      </w:pPr>
      <w:r>
        <w:t xml:space="preserve">The more important distinction is therefore not the name, but </w:t>
      </w:r>
      <w:r>
        <w:rPr>
          <w:rStyle w:val="Strong"/>
          <w:rFonts w:eastAsiaTheme="majorEastAsia"/>
        </w:rPr>
        <w:t>which version of the data is available, when it becomes available, and what filling/validation process it has passed</w:t>
      </w:r>
      <w:r>
        <w:t>.</w:t>
      </w:r>
    </w:p>
    <w:p w14:paraId="6D7171FF" w14:textId="77777777" w:rsidR="00A03676" w:rsidRDefault="00A03676" w:rsidP="008D0D30">
      <w:pPr>
        <w:pStyle w:val="NormalWeb"/>
      </w:pPr>
    </w:p>
    <w:p w14:paraId="0090A935" w14:textId="77777777" w:rsidR="008D0D30" w:rsidRDefault="008D0D30" w:rsidP="008D0D30">
      <w:pPr>
        <w:pStyle w:val="NormalWeb"/>
        <w:numPr>
          <w:ilvl w:val="0"/>
          <w:numId w:val="1"/>
        </w:numPr>
      </w:pPr>
      <w:r>
        <w:rPr>
          <w:rStyle w:val="Strong"/>
          <w:rFonts w:eastAsiaTheme="majorEastAsia"/>
        </w:rPr>
        <w:t>Historical vs. ongoing data consistency / source changes.</w:t>
      </w:r>
      <w:r>
        <w:t xml:space="preserve"> The framework does not yet explicitly address the transition from purchased historical data to ongoing FO marking/instruments. A historical dataset can be complete and clean but still not be economically consistent with the ongoing source. We should consider </w:t>
      </w:r>
      <w:r>
        <w:rPr>
          <w:rStyle w:val="Strong"/>
          <w:rFonts w:eastAsiaTheme="majorEastAsia"/>
        </w:rPr>
        <w:t>definition/convention consistency, statistical consistency and transition continuity</w:t>
      </w:r>
      <w:r>
        <w:t xml:space="preserve"> to identify artificial jumps or changes in volatility/correlation when sources change. SSA curves from ICE/BBG versus current marking are one example worth testing.</w:t>
      </w:r>
    </w:p>
    <w:p w14:paraId="48B80F6D" w14:textId="77777777" w:rsidR="008D0D30" w:rsidRDefault="008D0D30" w:rsidP="008D0D30">
      <w:pPr>
        <w:pStyle w:val="NormalWeb"/>
        <w:numPr>
          <w:ilvl w:val="0"/>
          <w:numId w:val="1"/>
        </w:numPr>
      </w:pPr>
      <w:r>
        <w:rPr>
          <w:rStyle w:val="Strong"/>
          <w:rFonts w:eastAsiaTheme="majorEastAsia"/>
        </w:rPr>
        <w:t>Data Quality ≠ Qualitative Test.</w:t>
      </w:r>
      <w:r>
        <w:t xml:space="preserve"> A well-constructed/smoothed RF can be 100% complete, updated daily, non-stale, within reasonable bounds and free of &gt;4σ outliers, while still having the </w:t>
      </w:r>
      <w:r>
        <w:rPr>
          <w:rStyle w:val="Strong"/>
          <w:rFonts w:eastAsiaTheme="majorEastAsia"/>
        </w:rPr>
        <w:t>wrong volatility, correlation structure or market representation</w:t>
      </w:r>
      <w:r>
        <w:t>. The regulatory concern goes beyond whether the series is operationally clean and specifically considers whether different data sources could produce materially different volatility/correlation characteristics.</w:t>
      </w:r>
    </w:p>
    <w:p w14:paraId="583492C7" w14:textId="77777777" w:rsidR="008D0D30" w:rsidRDefault="008D0D30" w:rsidP="008D0D30">
      <w:pPr>
        <w:pStyle w:val="NormalWeb"/>
        <w:numPr>
          <w:ilvl w:val="0"/>
          <w:numId w:val="1"/>
        </w:numPr>
      </w:pPr>
      <w:r>
        <w:rPr>
          <w:rStyle w:val="Strong"/>
          <w:rFonts w:eastAsiaTheme="majorEastAsia"/>
        </w:rPr>
        <w:t>Outlier treatment vs. preserving genuine market volatility.</w:t>
      </w:r>
      <w:r>
        <w:t xml:space="preserve"> We should be careful that the framework does not implicitly encourage “clean” histories at the expense of real market moves. During stressed markets, genuine observations will naturally appear as statistical outliers. We need a mechanism to distinguish </w:t>
      </w:r>
      <w:r>
        <w:rPr>
          <w:rStyle w:val="Strong"/>
          <w:rFonts w:eastAsiaTheme="majorEastAsia"/>
        </w:rPr>
        <w:t>bad data from genuine market volatility</w:t>
      </w:r>
      <w:r>
        <w:t xml:space="preserve"> and demonstrate that cleaning/outlier treatment does not understate volatility.</w:t>
      </w:r>
    </w:p>
    <w:p w14:paraId="73EFBADA" w14:textId="77777777" w:rsidR="008D0D30" w:rsidRDefault="008D0D30" w:rsidP="008D0D30">
      <w:pPr>
        <w:pStyle w:val="NormalWeb"/>
        <w:numPr>
          <w:ilvl w:val="0"/>
          <w:numId w:val="1"/>
        </w:numPr>
      </w:pPr>
      <w:r>
        <w:rPr>
          <w:rStyle w:val="Strong"/>
          <w:rFonts w:eastAsiaTheme="majorEastAsia"/>
        </w:rPr>
        <w:t>RFs not derived from an MDO.</w:t>
      </w:r>
      <w:r>
        <w:t xml:space="preserve"> The framework appears largely MDO-centric. How will we apply the Qualitative Test where we cannot establish an MDO→RF relationship—for example, RFs directly observed or derived from vendor/instrument data in </w:t>
      </w:r>
      <w:r>
        <w:rPr>
          <w:rStyle w:val="Strong"/>
          <w:rFonts w:eastAsiaTheme="majorEastAsia"/>
        </w:rPr>
        <w:t>Munis, Corporates and SPG</w:t>
      </w:r>
      <w:r>
        <w:t>? The evidence and testing framework should work regardless of whether an MDO exists.</w:t>
      </w:r>
    </w:p>
    <w:p w14:paraId="4EE01FE0" w14:textId="77777777" w:rsidR="008D0D30" w:rsidRDefault="008D0D30" w:rsidP="008D0D30">
      <w:pPr>
        <w:pStyle w:val="NormalWeb"/>
        <w:numPr>
          <w:ilvl w:val="0"/>
          <w:numId w:val="1"/>
        </w:numPr>
      </w:pPr>
      <w:r>
        <w:rPr>
          <w:rStyle w:val="Strong"/>
          <w:rFonts w:eastAsiaTheme="majorEastAsia"/>
        </w:rPr>
        <w:lastRenderedPageBreak/>
        <w:t>Can the framework produce a deterministic RF-level decision?</w:t>
      </w:r>
      <w:r>
        <w:t xml:space="preserve"> A useful implementation test would be: if Technology receives </w:t>
      </w:r>
      <w:r>
        <w:rPr>
          <w:rStyle w:val="Strong"/>
          <w:rFonts w:eastAsiaTheme="majorEastAsia"/>
        </w:rPr>
        <w:t>1,000 RFs</w:t>
      </w:r>
      <w:r>
        <w:t>, can it determine PASS/FAIL and produce evidence explaining why? For each RF, we should be able to answer: Does the history preserve appropriate volatility/correlation? Is market-price lineage sufficient? Is reconstructed historical/stress data representative? If proxied, is the proxy appropriate and does it preserve the required characteristics, including during stress? Today, I think Technology can determine DQ status more readily than regulatory RF eligibility.</w:t>
      </w:r>
    </w:p>
    <w:p w14:paraId="0733B6C2" w14:textId="77777777" w:rsidR="008D0D30" w:rsidRDefault="008D0D30" w:rsidP="008D0D30">
      <w:pPr>
        <w:pStyle w:val="NormalWeb"/>
        <w:numPr>
          <w:ilvl w:val="0"/>
          <w:numId w:val="1"/>
        </w:numPr>
      </w:pPr>
      <w:r>
        <w:rPr>
          <w:rStyle w:val="Strong"/>
          <w:rFonts w:eastAsiaTheme="majorEastAsia"/>
        </w:rPr>
        <w:t>MDO inheritance / variants.</w:t>
      </w:r>
      <w:r>
        <w:t xml:space="preserve"> We should also define when an MDO-level assessment can legitimately be inherited by multiple RFs. For example, if a standard SOFR-based European swaption passes, does that automatically establish eligibility for related Bermudan, accreting, spread/ratio or different-index variants? Similarly, how should we treat EURIBOR 1M/3M/6M, €STR/EONIA or Term SOFR variants? I don't think a pass for the “regular” MDO should automatically imply that all economically different variants pass unless we demonstrate that the underlying data and transformation remain representative.</w:t>
      </w:r>
    </w:p>
    <w:p w14:paraId="65F6F6E8" w14:textId="77777777" w:rsidR="008D0D30" w:rsidRDefault="008D0D30" w:rsidP="008D0D30">
      <w:pPr>
        <w:pStyle w:val="NormalWeb"/>
      </w:pPr>
      <w:r>
        <w:t xml:space="preserve">Overall, I would suggest we distinguish </w:t>
      </w:r>
      <w:r>
        <w:rPr>
          <w:rStyle w:val="Strong"/>
          <w:rFonts w:eastAsiaTheme="majorEastAsia"/>
        </w:rPr>
        <w:t>DQ monitoring</w:t>
      </w:r>
      <w:r>
        <w:t xml:space="preserve"> from the broader </w:t>
      </w:r>
      <w:r>
        <w:rPr>
          <w:rStyle w:val="Strong"/>
          <w:rFonts w:eastAsiaTheme="majorEastAsia"/>
        </w:rPr>
        <w:t>Qualitative Test eligibility determination</w:t>
      </w:r>
      <w:r>
        <w:t>, with DQ being an important input rather than the full conclusion.</w:t>
      </w:r>
    </w:p>
    <w:p w14:paraId="4E6B1898" w14:textId="77777777" w:rsidR="008D0D30" w:rsidRDefault="008D0D30" w:rsidP="008D0D30">
      <w:pPr>
        <w:pStyle w:val="NormalWeb"/>
      </w:pPr>
      <w:r>
        <w:t xml:space="preserve">The end-state test for me is simple: </w:t>
      </w:r>
      <w:r>
        <w:rPr>
          <w:rStyle w:val="Strong"/>
          <w:rFonts w:eastAsiaTheme="majorEastAsia"/>
        </w:rPr>
        <w:t>for any RF provided by Technology, can we trace the applicable data, methodology and evidence and explain objectively why that RF passes each applicable Qualitative Test requirement?</w:t>
      </w:r>
    </w:p>
    <w:p w14:paraId="4A194D2B" w14:textId="77777777" w:rsidR="008D0D30" w:rsidRDefault="008D0D30"/>
    <w:p w14:paraId="5BA75F70" w14:textId="77777777" w:rsidR="005C5BE1" w:rsidRDefault="005C5BE1"/>
    <w:tbl>
      <w:tblPr>
        <w:tblW w:w="9360" w:type="dxa"/>
        <w:tblLook w:val="04A0" w:firstRow="1" w:lastRow="0" w:firstColumn="1" w:lastColumn="0" w:noHBand="0" w:noVBand="1"/>
      </w:tblPr>
      <w:tblGrid>
        <w:gridCol w:w="9360"/>
      </w:tblGrid>
      <w:tr w:rsidR="005C5BE1" w:rsidRPr="005C5BE1" w14:paraId="1781C190" w14:textId="77777777" w:rsidTr="005C5BE1">
        <w:trPr>
          <w:trHeight w:val="300"/>
        </w:trPr>
        <w:tc>
          <w:tcPr>
            <w:tcW w:w="9360" w:type="dxa"/>
            <w:tcBorders>
              <w:top w:val="nil"/>
              <w:left w:val="nil"/>
              <w:bottom w:val="nil"/>
              <w:right w:val="nil"/>
            </w:tcBorders>
            <w:noWrap/>
            <w:vAlign w:val="bottom"/>
            <w:hideMark/>
          </w:tcPr>
          <w:p w14:paraId="05332E3E" w14:textId="77777777" w:rsidR="005C5BE1" w:rsidRPr="005C5BE1" w:rsidRDefault="005C5BE1" w:rsidP="005C5BE1">
            <w:pPr>
              <w:spacing w:after="0" w:line="240" w:lineRule="auto"/>
              <w:rPr>
                <w:rFonts w:ascii="Calibri" w:eastAsia="Times New Roman" w:hAnsi="Calibri" w:cs="Calibri"/>
                <w:color w:val="000000"/>
                <w:kern w:val="0"/>
                <w:sz w:val="22"/>
                <w:szCs w:val="22"/>
                <w14:ligatures w14:val="none"/>
              </w:rPr>
            </w:pPr>
            <w:r w:rsidRPr="005C5BE1">
              <w:rPr>
                <w:rFonts w:ascii="Calibri" w:eastAsia="Times New Roman" w:hAnsi="Calibri" w:cs="Calibri"/>
                <w:color w:val="000000"/>
                <w:kern w:val="0"/>
                <w:sz w:val="22"/>
                <w:szCs w:val="22"/>
                <w14:ligatures w14:val="none"/>
              </w:rPr>
              <w:t>I don't think the regulatory text supports that implication.</w:t>
            </w:r>
          </w:p>
        </w:tc>
      </w:tr>
      <w:tr w:rsidR="005C5BE1" w:rsidRPr="005C5BE1" w14:paraId="5057BF15" w14:textId="77777777" w:rsidTr="005C5BE1">
        <w:trPr>
          <w:trHeight w:val="300"/>
        </w:trPr>
        <w:tc>
          <w:tcPr>
            <w:tcW w:w="9360" w:type="dxa"/>
            <w:tcBorders>
              <w:top w:val="nil"/>
              <w:left w:val="nil"/>
              <w:bottom w:val="nil"/>
              <w:right w:val="nil"/>
            </w:tcBorders>
            <w:noWrap/>
            <w:vAlign w:val="bottom"/>
            <w:hideMark/>
          </w:tcPr>
          <w:p w14:paraId="67EB7E43" w14:textId="77777777" w:rsidR="005C5BE1" w:rsidRPr="005C5BE1" w:rsidRDefault="005C5BE1" w:rsidP="005C5BE1">
            <w:pPr>
              <w:spacing w:after="0" w:line="240" w:lineRule="auto"/>
              <w:rPr>
                <w:rFonts w:ascii="Calibri" w:eastAsia="Times New Roman" w:hAnsi="Calibri" w:cs="Calibri"/>
                <w:color w:val="000000"/>
                <w:kern w:val="0"/>
                <w:sz w:val="22"/>
                <w:szCs w:val="22"/>
                <w14:ligatures w14:val="none"/>
              </w:rPr>
            </w:pPr>
            <w:r w:rsidRPr="005C5BE1">
              <w:rPr>
                <w:rFonts w:ascii="Calibri" w:eastAsia="Times New Roman" w:hAnsi="Calibri" w:cs="Calibri"/>
                <w:color w:val="000000"/>
                <w:kern w:val="0"/>
                <w:sz w:val="22"/>
                <w:szCs w:val="22"/>
                <w14:ligatures w14:val="none"/>
              </w:rPr>
              <w:t xml:space="preserve">The agencies specifically say that different sources can produce “dramatically different volatility and correlation estimates” and that firms should assess whether data are representative of real prices, </w:t>
            </w:r>
            <w:r w:rsidRPr="005C5BE1">
              <w:rPr>
                <w:rFonts w:ascii="Calibri" w:eastAsia="Times New Roman" w:hAnsi="Calibri" w:cs="Calibri"/>
                <w:b/>
                <w:bCs/>
                <w:color w:val="000000"/>
                <w:kern w:val="0"/>
                <w:sz w:val="22"/>
                <w:szCs w:val="22"/>
                <w14:ligatures w14:val="none"/>
              </w:rPr>
              <w:t>do not understate volatility</w:t>
            </w:r>
            <w:r w:rsidRPr="005C5BE1">
              <w:rPr>
                <w:rFonts w:ascii="Calibri" w:eastAsia="Times New Roman" w:hAnsi="Calibri" w:cs="Calibri"/>
                <w:color w:val="000000"/>
                <w:kern w:val="0"/>
                <w:sz w:val="22"/>
                <w:szCs w:val="22"/>
                <w14:ligatures w14:val="none"/>
              </w:rPr>
              <w:t>, and accurately reflect correlations across asset prices, yield curves, and volatility surfaces.</w:t>
            </w:r>
          </w:p>
        </w:tc>
      </w:tr>
    </w:tbl>
    <w:p w14:paraId="42DC84F5" w14:textId="77777777" w:rsidR="005C5BE1" w:rsidRDefault="005C5BE1"/>
    <w:tbl>
      <w:tblPr>
        <w:tblW w:w="5660" w:type="dxa"/>
        <w:tblLook w:val="04A0" w:firstRow="1" w:lastRow="0" w:firstColumn="1" w:lastColumn="0" w:noHBand="0" w:noVBand="1"/>
      </w:tblPr>
      <w:tblGrid>
        <w:gridCol w:w="5660"/>
      </w:tblGrid>
      <w:tr w:rsidR="0089164B" w:rsidRPr="0089164B" w14:paraId="2FBD687D" w14:textId="77777777" w:rsidTr="0089164B">
        <w:trPr>
          <w:trHeight w:val="300"/>
        </w:trPr>
        <w:tc>
          <w:tcPr>
            <w:tcW w:w="5660" w:type="dxa"/>
            <w:tcBorders>
              <w:top w:val="nil"/>
              <w:left w:val="nil"/>
              <w:bottom w:val="nil"/>
              <w:right w:val="nil"/>
            </w:tcBorders>
            <w:noWrap/>
            <w:vAlign w:val="bottom"/>
            <w:hideMark/>
          </w:tcPr>
          <w:p w14:paraId="616D0DF5" w14:textId="77777777" w:rsidR="0089164B" w:rsidRPr="0089164B" w:rsidRDefault="0089164B" w:rsidP="0089164B">
            <w:pPr>
              <w:spacing w:after="0" w:line="240" w:lineRule="auto"/>
              <w:rPr>
                <w:rFonts w:ascii="Calibri" w:eastAsia="Times New Roman" w:hAnsi="Calibri" w:cs="Calibri"/>
                <w:color w:val="000000"/>
                <w:kern w:val="0"/>
                <w:sz w:val="22"/>
                <w:szCs w:val="22"/>
                <w14:ligatures w14:val="none"/>
              </w:rPr>
            </w:pPr>
            <w:r w:rsidRPr="0089164B">
              <w:rPr>
                <w:rFonts w:ascii="Calibri" w:eastAsia="Times New Roman" w:hAnsi="Calibri" w:cs="Calibri"/>
                <w:color w:val="000000"/>
                <w:kern w:val="0"/>
                <w:sz w:val="22"/>
                <w:szCs w:val="22"/>
                <w14:ligatures w14:val="none"/>
              </w:rPr>
              <w:t>If the risk factor time series does not suffer significant data quality issues, the data will be considered to correctly reflect the volatility and correlation characteristics</w:t>
            </w:r>
          </w:p>
        </w:tc>
      </w:tr>
      <w:tr w:rsidR="0089164B" w:rsidRPr="0089164B" w14:paraId="0F9F2CC1" w14:textId="77777777" w:rsidTr="0089164B">
        <w:trPr>
          <w:trHeight w:val="300"/>
        </w:trPr>
        <w:tc>
          <w:tcPr>
            <w:tcW w:w="5660" w:type="dxa"/>
            <w:tcBorders>
              <w:top w:val="nil"/>
              <w:left w:val="nil"/>
              <w:bottom w:val="nil"/>
              <w:right w:val="nil"/>
            </w:tcBorders>
            <w:noWrap/>
            <w:vAlign w:val="bottom"/>
            <w:hideMark/>
          </w:tcPr>
          <w:p w14:paraId="105E6040" w14:textId="77777777" w:rsidR="0089164B" w:rsidRPr="0089164B" w:rsidRDefault="0089164B" w:rsidP="0089164B">
            <w:pPr>
              <w:spacing w:after="0" w:line="240" w:lineRule="auto"/>
              <w:rPr>
                <w:rFonts w:ascii="Calibri" w:eastAsia="Times New Roman" w:hAnsi="Calibri" w:cs="Calibri"/>
                <w:color w:val="000000"/>
                <w:kern w:val="0"/>
                <w:sz w:val="22"/>
                <w:szCs w:val="22"/>
                <w14:ligatures w14:val="none"/>
              </w:rPr>
            </w:pPr>
            <w:r w:rsidRPr="0089164B">
              <w:rPr>
                <w:rFonts w:ascii="Calibri" w:eastAsia="Times New Roman" w:hAnsi="Calibri" w:cs="Calibri"/>
                <w:color w:val="000000"/>
                <w:kern w:val="0"/>
                <w:sz w:val="22"/>
                <w:szCs w:val="22"/>
                <w14:ligatures w14:val="none"/>
              </w:rPr>
              <w:t>I would challenge this assumption.</w:t>
            </w:r>
          </w:p>
        </w:tc>
      </w:tr>
    </w:tbl>
    <w:p w14:paraId="1BAE2C4F" w14:textId="77777777" w:rsidR="005C5BE1" w:rsidRDefault="005C5BE1"/>
    <w:sectPr w:rsidR="005C5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059D7"/>
    <w:multiLevelType w:val="multilevel"/>
    <w:tmpl w:val="FA84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210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D30"/>
    <w:rsid w:val="005C5BE1"/>
    <w:rsid w:val="006E6CA7"/>
    <w:rsid w:val="0089164B"/>
    <w:rsid w:val="008D0D30"/>
    <w:rsid w:val="009B68F0"/>
    <w:rsid w:val="00A03676"/>
    <w:rsid w:val="00CA32C7"/>
    <w:rsid w:val="00DD5899"/>
    <w:rsid w:val="00EC1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6AF45"/>
  <w15:chartTrackingRefBased/>
  <w15:docId w15:val="{FFACB10C-B2A9-41B7-8527-B405B471C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D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D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0D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D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D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D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D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0D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D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D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D30"/>
    <w:rPr>
      <w:rFonts w:eastAsiaTheme="majorEastAsia" w:cstheme="majorBidi"/>
      <w:color w:val="272727" w:themeColor="text1" w:themeTint="D8"/>
    </w:rPr>
  </w:style>
  <w:style w:type="paragraph" w:styleId="Title">
    <w:name w:val="Title"/>
    <w:basedOn w:val="Normal"/>
    <w:next w:val="Normal"/>
    <w:link w:val="TitleChar"/>
    <w:uiPriority w:val="10"/>
    <w:qFormat/>
    <w:rsid w:val="008D0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D30"/>
    <w:pPr>
      <w:spacing w:before="160"/>
      <w:jc w:val="center"/>
    </w:pPr>
    <w:rPr>
      <w:i/>
      <w:iCs/>
      <w:color w:val="404040" w:themeColor="text1" w:themeTint="BF"/>
    </w:rPr>
  </w:style>
  <w:style w:type="character" w:customStyle="1" w:styleId="QuoteChar">
    <w:name w:val="Quote Char"/>
    <w:basedOn w:val="DefaultParagraphFont"/>
    <w:link w:val="Quote"/>
    <w:uiPriority w:val="29"/>
    <w:rsid w:val="008D0D30"/>
    <w:rPr>
      <w:i/>
      <w:iCs/>
      <w:color w:val="404040" w:themeColor="text1" w:themeTint="BF"/>
    </w:rPr>
  </w:style>
  <w:style w:type="paragraph" w:styleId="ListParagraph">
    <w:name w:val="List Paragraph"/>
    <w:basedOn w:val="Normal"/>
    <w:uiPriority w:val="34"/>
    <w:qFormat/>
    <w:rsid w:val="008D0D30"/>
    <w:pPr>
      <w:ind w:left="720"/>
      <w:contextualSpacing/>
    </w:pPr>
  </w:style>
  <w:style w:type="character" w:styleId="IntenseEmphasis">
    <w:name w:val="Intense Emphasis"/>
    <w:basedOn w:val="DefaultParagraphFont"/>
    <w:uiPriority w:val="21"/>
    <w:qFormat/>
    <w:rsid w:val="008D0D30"/>
    <w:rPr>
      <w:i/>
      <w:iCs/>
      <w:color w:val="2F5496" w:themeColor="accent1" w:themeShade="BF"/>
    </w:rPr>
  </w:style>
  <w:style w:type="paragraph" w:styleId="IntenseQuote">
    <w:name w:val="Intense Quote"/>
    <w:basedOn w:val="Normal"/>
    <w:next w:val="Normal"/>
    <w:link w:val="IntenseQuoteChar"/>
    <w:uiPriority w:val="30"/>
    <w:qFormat/>
    <w:rsid w:val="008D0D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D30"/>
    <w:rPr>
      <w:i/>
      <w:iCs/>
      <w:color w:val="2F5496" w:themeColor="accent1" w:themeShade="BF"/>
    </w:rPr>
  </w:style>
  <w:style w:type="character" w:styleId="IntenseReference">
    <w:name w:val="Intense Reference"/>
    <w:basedOn w:val="DefaultParagraphFont"/>
    <w:uiPriority w:val="32"/>
    <w:qFormat/>
    <w:rsid w:val="008D0D30"/>
    <w:rPr>
      <w:b/>
      <w:bCs/>
      <w:smallCaps/>
      <w:color w:val="2F5496" w:themeColor="accent1" w:themeShade="BF"/>
      <w:spacing w:val="5"/>
    </w:rPr>
  </w:style>
  <w:style w:type="paragraph" w:styleId="NormalWeb">
    <w:name w:val="Normal (Web)"/>
    <w:basedOn w:val="Normal"/>
    <w:uiPriority w:val="99"/>
    <w:semiHidden/>
    <w:unhideWhenUsed/>
    <w:rsid w:val="008D0D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0D30"/>
    <w:rPr>
      <w:b/>
      <w:bCs/>
    </w:rPr>
  </w:style>
  <w:style w:type="character" w:styleId="HTMLCode">
    <w:name w:val="HTML Code"/>
    <w:basedOn w:val="DefaultParagraphFont"/>
    <w:uiPriority w:val="99"/>
    <w:semiHidden/>
    <w:unhideWhenUsed/>
    <w:rsid w:val="00EC1B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748</Words>
  <Characters>4264</Characters>
  <Application>Microsoft Office Word</Application>
  <DocSecurity>0</DocSecurity>
  <Lines>35</Lines>
  <Paragraphs>10</Paragraphs>
  <ScaleCrop>false</ScaleCrop>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CHOUKRI ABDELILAH</dc:creator>
  <cp:keywords/>
  <dc:description/>
  <cp:lastModifiedBy>CHOUKRI ABDELILAH</cp:lastModifiedBy>
  <cp:revision>8</cp:revision>
  <dcterms:created xsi:type="dcterms:W3CDTF">2026-10-16T15:12:00Z</dcterms:created>
  <dcterms:modified xsi:type="dcterms:W3CDTF">2026-10-16T16:12:00Z</dcterms:modified>
</cp:coreProperties>
</file>