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3A69" w14:textId="6705CF9F" w:rsidR="0001095A" w:rsidRDefault="00CA21A8" w:rsidP="0001095A">
      <w:pPr>
        <w:pStyle w:val="NormalWeb"/>
      </w:pPr>
      <w:r w:rsidRPr="00CA21A8">
        <w:t xml:space="preserve">We should we </w:t>
      </w:r>
      <w:r w:rsidRPr="00CA21A8">
        <w:t>get together</w:t>
      </w:r>
      <w:r w:rsidRPr="00CA21A8">
        <w:t xml:space="preserve"> on a call</w:t>
      </w:r>
      <w:r w:rsidR="0001095A">
        <w:t xml:space="preserve">(s) </w:t>
      </w:r>
      <w:r w:rsidR="0001095A" w:rsidRPr="00CA21A8">
        <w:t>to</w:t>
      </w:r>
      <w:r w:rsidRPr="00CA21A8">
        <w:t xml:space="preserve"> align</w:t>
      </w:r>
      <w:r>
        <w:t>/agree/</w:t>
      </w:r>
      <w:r w:rsidRPr="00CA21A8">
        <w:t xml:space="preserve"> on the IR Vol RFET </w:t>
      </w:r>
      <w:r w:rsidRPr="00CA21A8">
        <w:t>methodology, specifically</w:t>
      </w:r>
      <w:r w:rsidRPr="00CA21A8">
        <w:t xml:space="preserve"> the approach documented in the BRD </w:t>
      </w:r>
      <w:r w:rsidR="009B58CD">
        <w:t>(</w:t>
      </w:r>
      <w:r w:rsidR="009B58CD" w:rsidRPr="00CA21A8">
        <w:rPr>
          <w:b/>
          <w:bCs/>
        </w:rPr>
        <w:t>Calibration Strike</w:t>
      </w:r>
      <w:r w:rsidR="009B58CD">
        <w:rPr>
          <w:b/>
          <w:bCs/>
        </w:rPr>
        <w:t>s</w:t>
      </w:r>
      <w:r w:rsidR="009B58CD" w:rsidRPr="00CA21A8">
        <w:rPr>
          <w:b/>
          <w:bCs/>
        </w:rPr>
        <w:t xml:space="preserve"> Set-</w:t>
      </w:r>
      <w:proofErr w:type="gramStart"/>
      <w:r w:rsidR="009B58CD" w:rsidRPr="00CA21A8">
        <w:rPr>
          <w:b/>
          <w:bCs/>
        </w:rPr>
        <w:t>Driven</w:t>
      </w:r>
      <w:r w:rsidR="009B58CD" w:rsidRPr="00CA21A8">
        <w:t xml:space="preserve"> </w:t>
      </w:r>
      <w:r w:rsidR="009B58CD">
        <w:t>)</w:t>
      </w:r>
      <w:proofErr w:type="gramEnd"/>
      <w:r w:rsidR="009B58CD">
        <w:t xml:space="preserve"> </w:t>
      </w:r>
      <w:r w:rsidRPr="00CA21A8">
        <w:t xml:space="preserve">versus the </w:t>
      </w:r>
      <w:r w:rsidR="009B58CD">
        <w:t xml:space="preserve">current in progress approach </w:t>
      </w:r>
      <w:r w:rsidR="009B58CD" w:rsidRPr="00CA21A8">
        <w:rPr>
          <w:b/>
          <w:bCs/>
        </w:rPr>
        <w:t>Delta-Driven</w:t>
      </w:r>
    </w:p>
    <w:p w14:paraId="235F89DD" w14:textId="77777777" w:rsidR="0001095A" w:rsidRPr="0001095A" w:rsidRDefault="0001095A" w:rsidP="0001095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095A">
        <w:rPr>
          <w:rFonts w:ascii="Times New Roman" w:eastAsia="Times New Roman" w:hAnsi="Times New Roman" w:cs="Times New Roman"/>
          <w:kern w:val="0"/>
          <w14:ligatures w14:val="none"/>
        </w:rPr>
        <w:t xml:space="preserve">The core requirement from the Market Risk is to establish defensible lineage between RPO observations, calibration inputs, and SABR risk factors. So, </w:t>
      </w:r>
      <w:r w:rsidRPr="0001095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they are flexible</w:t>
      </w:r>
      <w:r w:rsidRPr="0001095A">
        <w:rPr>
          <w:rFonts w:ascii="Times New Roman" w:eastAsia="Times New Roman" w:hAnsi="Times New Roman" w:cs="Times New Roman"/>
          <w:kern w:val="0"/>
          <w14:ligatures w14:val="none"/>
        </w:rPr>
        <w:t xml:space="preserve"> on the approach (and implementation)</w:t>
      </w:r>
    </w:p>
    <w:p w14:paraId="6466CC2B" w14:textId="788AAF28" w:rsidR="0001095A" w:rsidRPr="00B353DE" w:rsidRDefault="0001095A" w:rsidP="0001095A">
      <w:pPr>
        <w:pStyle w:val="NormalWeb"/>
      </w:pPr>
      <w:r w:rsidRPr="00B353DE">
        <w:t xml:space="preserve">Both approaches are conceptionally sound. We just need agreement on few key differences </w:t>
      </w:r>
      <w:r w:rsidR="00B353DE">
        <w:t xml:space="preserve">as it will impact the implementation </w:t>
      </w:r>
    </w:p>
    <w:p w14:paraId="61CBBF1E" w14:textId="12C48614" w:rsidR="009B58CD" w:rsidRPr="00B353DE" w:rsidRDefault="009B58CD" w:rsidP="009B58CD">
      <w:pPr>
        <w:pStyle w:val="NormalWeb"/>
        <w:rPr>
          <w:b/>
          <w:bCs/>
        </w:rPr>
      </w:pPr>
      <w:r w:rsidRPr="00B353DE">
        <w:rPr>
          <w:b/>
          <w:bCs/>
        </w:rPr>
        <w:t xml:space="preserve">So, I recommend </w:t>
      </w:r>
      <w:r w:rsidRPr="00B353DE">
        <w:rPr>
          <w:b/>
          <w:bCs/>
        </w:rPr>
        <w:t xml:space="preserve">next step: </w:t>
      </w:r>
    </w:p>
    <w:p w14:paraId="606FC9F9" w14:textId="7358A2AB" w:rsidR="009B58CD" w:rsidRDefault="009B58CD" w:rsidP="009B58CD">
      <w:pPr>
        <w:pStyle w:val="NormalWeb"/>
        <w:numPr>
          <w:ilvl w:val="0"/>
          <w:numId w:val="6"/>
        </w:numPr>
      </w:pPr>
      <w:r>
        <w:t xml:space="preserve">walk Market Risk on the current in progress delta-driven approach </w:t>
      </w:r>
    </w:p>
    <w:p w14:paraId="3BA43AC3" w14:textId="5A3F61D8" w:rsidR="009B58CD" w:rsidRDefault="009B58CD" w:rsidP="009B58CD">
      <w:pPr>
        <w:pStyle w:val="NormalWeb"/>
        <w:numPr>
          <w:ilvl w:val="0"/>
          <w:numId w:val="6"/>
        </w:numPr>
      </w:pPr>
      <w:r>
        <w:t>highlight</w:t>
      </w:r>
      <w:r>
        <w:t xml:space="preserve"> key differences on BRD proposal vs FO </w:t>
      </w:r>
      <w:r>
        <w:t>proposal</w:t>
      </w:r>
      <w:r>
        <w:t xml:space="preserve"> </w:t>
      </w:r>
    </w:p>
    <w:p w14:paraId="266F147F" w14:textId="2FBA918A" w:rsidR="009B58CD" w:rsidRDefault="009B58CD" w:rsidP="009B58CD">
      <w:pPr>
        <w:pStyle w:val="NormalWeb"/>
        <w:numPr>
          <w:ilvl w:val="0"/>
          <w:numId w:val="6"/>
        </w:numPr>
      </w:pPr>
      <w:r>
        <w:t>get their feedback and assess if any gaps</w:t>
      </w:r>
    </w:p>
    <w:p w14:paraId="0E7214D2" w14:textId="236E3473" w:rsidR="009B58CD" w:rsidRDefault="009B58CD" w:rsidP="009B58CD">
      <w:pPr>
        <w:pStyle w:val="NormalWeb"/>
        <w:numPr>
          <w:ilvl w:val="0"/>
          <w:numId w:val="6"/>
        </w:numPr>
      </w:pPr>
      <w:r>
        <w:t xml:space="preserve">work on small MVP /PoC if needed for illustration </w:t>
      </w:r>
    </w:p>
    <w:p w14:paraId="47084A4F" w14:textId="4AF15187" w:rsidR="009B58CD" w:rsidRPr="009B58CD" w:rsidRDefault="009B58CD" w:rsidP="0001095A">
      <w:pPr>
        <w:pStyle w:val="NormalWeb"/>
        <w:numPr>
          <w:ilvl w:val="0"/>
          <w:numId w:val="6"/>
        </w:numPr>
      </w:pPr>
      <w:r>
        <w:t xml:space="preserve">reflect the agreed </w:t>
      </w:r>
      <w:r w:rsidRPr="00B353DE">
        <w:t>approach</w:t>
      </w:r>
      <w:r>
        <w:t xml:space="preserve"> on BRD </w:t>
      </w:r>
    </w:p>
    <w:p w14:paraId="63E7FB24" w14:textId="5A79BB9B" w:rsidR="00CA21A8" w:rsidRPr="0001095A" w:rsidRDefault="00CA21A8">
      <w:pPr>
        <w:rPr>
          <w:b/>
          <w:bCs/>
          <w:color w:val="EE0000"/>
          <w:sz w:val="32"/>
          <w:szCs w:val="32"/>
        </w:rPr>
      </w:pPr>
      <w:r w:rsidRPr="0001095A">
        <w:rPr>
          <w:b/>
          <w:bCs/>
          <w:color w:val="EE0000"/>
          <w:sz w:val="32"/>
          <w:szCs w:val="32"/>
        </w:rPr>
        <w:t>The two approaches, briefly:</w:t>
      </w:r>
    </w:p>
    <w:p w14:paraId="427A7B70" w14:textId="06C6B884" w:rsidR="00CA21A8" w:rsidRPr="00B353DE" w:rsidRDefault="00CA21A8">
      <w:pPr>
        <w:rPr>
          <w:b/>
          <w:bCs/>
          <w:color w:val="0000FF"/>
        </w:rPr>
      </w:pPr>
      <w:r w:rsidRPr="00B353DE">
        <w:rPr>
          <w:b/>
          <w:bCs/>
          <w:color w:val="0000FF"/>
        </w:rPr>
        <w:t>BRD Approach –</w:t>
      </w:r>
      <w:r w:rsidRPr="00B353DE">
        <w:rPr>
          <w:b/>
          <w:bCs/>
          <w:color w:val="0000FF"/>
        </w:rPr>
        <w:t>&gt;</w:t>
      </w:r>
      <w:r w:rsidRPr="00B353DE">
        <w:rPr>
          <w:b/>
          <w:bCs/>
          <w:color w:val="0000FF"/>
        </w:rPr>
        <w:t xml:space="preserve"> Calibration</w:t>
      </w:r>
      <w:r w:rsidRPr="00B353DE">
        <w:rPr>
          <w:b/>
          <w:bCs/>
          <w:color w:val="0000FF"/>
        </w:rPr>
        <w:t xml:space="preserve"> Strike Set</w:t>
      </w:r>
      <w:r w:rsidRPr="00B353DE">
        <w:rPr>
          <w:b/>
          <w:bCs/>
          <w:color w:val="0000FF"/>
        </w:rPr>
        <w:t>-Driven</w:t>
      </w:r>
    </w:p>
    <w:p w14:paraId="17B158A5" w14:textId="2A43E244" w:rsidR="00CA21A8" w:rsidRDefault="00CA21A8" w:rsidP="00CA21A8">
      <w:pPr>
        <w:pStyle w:val="ListParagraph"/>
        <w:numPr>
          <w:ilvl w:val="0"/>
          <w:numId w:val="1"/>
        </w:numPr>
      </w:pPr>
      <w:r w:rsidRPr="00CA21A8">
        <w:t xml:space="preserve">Convert regulatory </w:t>
      </w:r>
      <w:r>
        <w:t xml:space="preserve">standard </w:t>
      </w:r>
      <w:r w:rsidRPr="00CA21A8">
        <w:t>delta buckets into production moneyness</w:t>
      </w:r>
      <w:r>
        <w:t>/strikes set</w:t>
      </w:r>
      <w:r w:rsidRPr="00CA21A8">
        <w:t xml:space="preserve"> (</w:t>
      </w:r>
      <w:r>
        <w:t>ATM+</w:t>
      </w:r>
      <w:r w:rsidRPr="00CA21A8">
        <w:t xml:space="preserve">bp) using </w:t>
      </w:r>
      <w:r>
        <w:t>an</w:t>
      </w:r>
      <w:r w:rsidRPr="00CA21A8">
        <w:t xml:space="preserve"> approved pricing model.</w:t>
      </w:r>
    </w:p>
    <w:p w14:paraId="43DE96D2" w14:textId="403DB5AC" w:rsidR="00CA21A8" w:rsidRDefault="00CA21A8" w:rsidP="00CA21A8">
      <w:pPr>
        <w:pStyle w:val="ListParagraph"/>
        <w:numPr>
          <w:ilvl w:val="0"/>
          <w:numId w:val="1"/>
        </w:numPr>
      </w:pPr>
      <w:r>
        <w:t xml:space="preserve">Convert RPOs observation level quotes to </w:t>
      </w:r>
      <w:r w:rsidR="0001095A">
        <w:t xml:space="preserve">similar production moneyness calibration instruments </w:t>
      </w:r>
    </w:p>
    <w:p w14:paraId="3B0F31A5" w14:textId="707E206F" w:rsidR="00CA21A8" w:rsidRDefault="00CA21A8" w:rsidP="00CA21A8">
      <w:pPr>
        <w:pStyle w:val="ListParagraph"/>
        <w:numPr>
          <w:ilvl w:val="0"/>
          <w:numId w:val="1"/>
        </w:numPr>
      </w:pPr>
      <w:r w:rsidRPr="00CA21A8">
        <w:t xml:space="preserve">Bucket RPOs by </w:t>
      </w:r>
      <w:r w:rsidRPr="00CA21A8">
        <w:rPr>
          <w:b/>
          <w:bCs/>
        </w:rPr>
        <w:t>moneyness × expiry × tenor</w:t>
      </w:r>
      <w:r w:rsidRPr="00CA21A8">
        <w:t xml:space="preserve"> and perform RFET counting.</w:t>
      </w:r>
    </w:p>
    <w:p w14:paraId="5677EA59" w14:textId="259BD168" w:rsidR="00CA21A8" w:rsidRDefault="00CA21A8" w:rsidP="00CA21A8">
      <w:pPr>
        <w:pStyle w:val="ListParagraph"/>
        <w:numPr>
          <w:ilvl w:val="0"/>
          <w:numId w:val="1"/>
        </w:numPr>
      </w:pPr>
      <w:r w:rsidRPr="00CA21A8">
        <w:t>Establish calibration</w:t>
      </w:r>
      <w:r>
        <w:t xml:space="preserve"> instruments </w:t>
      </w:r>
      <w:r w:rsidRPr="00CA21A8">
        <w:t>lineage</w:t>
      </w:r>
      <w:r w:rsidRPr="00CA21A8">
        <w:t xml:space="preserve"> and determine </w:t>
      </w:r>
      <w:r w:rsidRPr="00CA21A8">
        <w:t>model lability</w:t>
      </w:r>
      <w:r w:rsidRPr="00CA21A8">
        <w:t xml:space="preserve"> </w:t>
      </w:r>
      <w:r w:rsidRPr="00CA21A8">
        <w:rPr>
          <w:b/>
          <w:bCs/>
        </w:rPr>
        <w:t>separately</w:t>
      </w:r>
      <w:r w:rsidRPr="00CA21A8">
        <w:t xml:space="preserve"> for</w:t>
      </w:r>
    </w:p>
    <w:p w14:paraId="19C7BD8B" w14:textId="1E3C8327" w:rsidR="00CA21A8" w:rsidRDefault="00CA21A8" w:rsidP="00CA21A8">
      <w:pPr>
        <w:pStyle w:val="ListParagraph"/>
        <w:numPr>
          <w:ilvl w:val="1"/>
          <w:numId w:val="1"/>
        </w:numPr>
      </w:pPr>
      <w:r w:rsidRPr="00CA21A8">
        <w:t>ATM normal volatility</w:t>
      </w:r>
      <w:r>
        <w:t xml:space="preserve">----from ATM strikes </w:t>
      </w:r>
    </w:p>
    <w:p w14:paraId="2C2D8011" w14:textId="53EAE9C8" w:rsidR="00CA21A8" w:rsidRDefault="00CA21A8" w:rsidP="00CA21A8">
      <w:pPr>
        <w:pStyle w:val="ListParagraph"/>
        <w:numPr>
          <w:ilvl w:val="1"/>
          <w:numId w:val="1"/>
        </w:numPr>
      </w:pPr>
      <w:r w:rsidRPr="00CA21A8">
        <w:t xml:space="preserve"> ρ (skew), and ν (curvature)</w:t>
      </w:r>
      <w:r>
        <w:t xml:space="preserve"> from upper/lower strikes </w:t>
      </w:r>
    </w:p>
    <w:p w14:paraId="015246A5" w14:textId="3E79117E" w:rsidR="00CA21A8" w:rsidRPr="00B353DE" w:rsidRDefault="00CA21A8" w:rsidP="00CA21A8">
      <w:pPr>
        <w:rPr>
          <w:b/>
          <w:bCs/>
          <w:color w:val="0000FF"/>
        </w:rPr>
      </w:pPr>
      <w:r w:rsidRPr="00B353DE">
        <w:rPr>
          <w:b/>
          <w:bCs/>
          <w:color w:val="0000FF"/>
        </w:rPr>
        <w:t>Previously Proposed Approach – Delta-Driven</w:t>
      </w:r>
    </w:p>
    <w:p w14:paraId="0C83ABAF" w14:textId="1B77C60D" w:rsidR="00CA21A8" w:rsidRPr="00322E0F" w:rsidRDefault="00CA21A8" w:rsidP="00CA21A8">
      <w:pPr>
        <w:pStyle w:val="ListParagraph"/>
        <w:numPr>
          <w:ilvl w:val="0"/>
          <w:numId w:val="3"/>
        </w:numPr>
        <w:rPr>
          <w:b/>
          <w:bCs/>
        </w:rPr>
      </w:pPr>
      <w:r w:rsidRPr="00CA21A8">
        <w:t xml:space="preserve">Convert RPO observations into regulatory </w:t>
      </w:r>
      <w:r w:rsidRPr="0001095A">
        <w:rPr>
          <w:b/>
          <w:bCs/>
        </w:rPr>
        <w:t>delta × expiry × tenor</w:t>
      </w:r>
      <w:r w:rsidRPr="00CA21A8">
        <w:t xml:space="preserve"> buckets and perform RFET counting</w:t>
      </w:r>
    </w:p>
    <w:p w14:paraId="559F0A8D" w14:textId="3D480621" w:rsidR="00322E0F" w:rsidRDefault="00322E0F" w:rsidP="00CA21A8">
      <w:pPr>
        <w:pStyle w:val="ListParagraph"/>
        <w:numPr>
          <w:ilvl w:val="0"/>
          <w:numId w:val="3"/>
        </w:numPr>
      </w:pPr>
      <w:r w:rsidRPr="0001095A">
        <w:rPr>
          <w:b/>
          <w:bCs/>
        </w:rPr>
        <w:t>By Quarter end</w:t>
      </w:r>
      <w:r>
        <w:t>, e</w:t>
      </w:r>
      <w:r w:rsidRPr="00322E0F">
        <w:t>xtract the minimum/maximum strikes used in each SABR calibration and convert them into delta coverag</w:t>
      </w:r>
      <w:r>
        <w:t>e</w:t>
      </w:r>
    </w:p>
    <w:p w14:paraId="4376B903" w14:textId="12513762" w:rsidR="00322E0F" w:rsidRDefault="00322E0F" w:rsidP="00CA21A8">
      <w:pPr>
        <w:pStyle w:val="ListParagraph"/>
        <w:numPr>
          <w:ilvl w:val="0"/>
          <w:numId w:val="3"/>
        </w:numPr>
      </w:pPr>
      <w:r w:rsidRPr="00322E0F">
        <w:t xml:space="preserve">Map the calibration delta coverage to passing RPO buckets to establish SABR parameter </w:t>
      </w:r>
      <w:proofErr w:type="spellStart"/>
      <w:r w:rsidRPr="00322E0F">
        <w:t>modellability</w:t>
      </w:r>
      <w:proofErr w:type="spellEnd"/>
      <w:r w:rsidRPr="00322E0F">
        <w:t>.</w:t>
      </w:r>
    </w:p>
    <w:p w14:paraId="26C46D2A" w14:textId="77777777" w:rsidR="0001095A" w:rsidRDefault="0001095A" w:rsidP="0001095A"/>
    <w:p w14:paraId="315E2F77" w14:textId="4CA28C50" w:rsidR="0001095A" w:rsidRPr="0001095A" w:rsidRDefault="0001095A" w:rsidP="0001095A">
      <w:pPr>
        <w:rPr>
          <w:b/>
          <w:bCs/>
          <w:color w:val="EE0000"/>
          <w:sz w:val="36"/>
          <w:szCs w:val="36"/>
        </w:rPr>
      </w:pPr>
      <w:r w:rsidRPr="0001095A">
        <w:rPr>
          <w:b/>
          <w:bCs/>
          <w:color w:val="EE0000"/>
          <w:sz w:val="36"/>
          <w:szCs w:val="36"/>
        </w:rPr>
        <w:lastRenderedPageBreak/>
        <w:t>Key differences</w:t>
      </w:r>
    </w:p>
    <w:p w14:paraId="289952B1" w14:textId="77777777" w:rsidR="0001095A" w:rsidRDefault="0001095A" w:rsidP="0001095A">
      <w:pPr>
        <w:pStyle w:val="NormalWeb"/>
        <w:numPr>
          <w:ilvl w:val="0"/>
          <w:numId w:val="5"/>
        </w:numPr>
      </w:pPr>
      <w:r w:rsidRPr="0001095A">
        <w:rPr>
          <w:b/>
          <w:bCs/>
        </w:rPr>
        <w:t>Bucketing</w:t>
      </w:r>
      <w:r>
        <w:t>:  BRD suggests to convert delta into production moneyness; the previous proposal retains delta buckets.</w:t>
      </w:r>
    </w:p>
    <w:p w14:paraId="1D06183C" w14:textId="77777777" w:rsidR="0001095A" w:rsidRDefault="0001095A" w:rsidP="0001095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Instrument Calibration mapping:</w:t>
      </w:r>
      <w:r>
        <w:t xml:space="preserve"> BRD emphasizes parameter-specific calibration lineage; the previous proposal uses the overall calibration strike range</w:t>
      </w:r>
    </w:p>
    <w:p w14:paraId="0DDC77AA" w14:textId="77777777" w:rsidR="0001095A" w:rsidRDefault="0001095A" w:rsidP="0001095A">
      <w:pPr>
        <w:pStyle w:val="NormalWeb"/>
        <w:numPr>
          <w:ilvl w:val="0"/>
          <w:numId w:val="4"/>
        </w:numPr>
      </w:pPr>
      <w:r>
        <w:t xml:space="preserve">daily vs quarterly mapping, …most importantly how individual </w:t>
      </w:r>
      <w:proofErr w:type="spellStart"/>
      <w:r>
        <w:t>Sabr</w:t>
      </w:r>
      <w:proofErr w:type="spellEnd"/>
      <w:r>
        <w:t xml:space="preserve"> params inherit RFET results) </w:t>
      </w:r>
    </w:p>
    <w:p w14:paraId="5DE75B45" w14:textId="5776CB6B" w:rsidR="0001095A" w:rsidRDefault="0001095A" w:rsidP="0001095A">
      <w:pPr>
        <w:pStyle w:val="NormalWeb"/>
      </w:pPr>
      <w:r>
        <w:t>-</w:t>
      </w:r>
      <w:r>
        <w:sym w:font="Wingdings" w:char="F0E0"/>
      </w:r>
      <w:r>
        <w:t xml:space="preserve"> </w:t>
      </w:r>
      <w:r w:rsidR="006D50BC">
        <w:t>see below</w:t>
      </w:r>
      <w:r>
        <w:t xml:space="preserve"> slides to conceptualize the differences</w:t>
      </w:r>
    </w:p>
    <w:p w14:paraId="46118147" w14:textId="77777777" w:rsidR="0001095A" w:rsidRPr="00322E0F" w:rsidRDefault="0001095A" w:rsidP="0001095A"/>
    <w:sectPr w:rsidR="0001095A" w:rsidRPr="0032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8BA"/>
    <w:multiLevelType w:val="hybridMultilevel"/>
    <w:tmpl w:val="A1EA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66440"/>
    <w:multiLevelType w:val="hybridMultilevel"/>
    <w:tmpl w:val="5B645D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0972E2"/>
    <w:multiLevelType w:val="hybridMultilevel"/>
    <w:tmpl w:val="171C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01A5C"/>
    <w:multiLevelType w:val="hybridMultilevel"/>
    <w:tmpl w:val="62B4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D0D24"/>
    <w:multiLevelType w:val="hybridMultilevel"/>
    <w:tmpl w:val="9BE8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6592D"/>
    <w:multiLevelType w:val="hybridMultilevel"/>
    <w:tmpl w:val="0E8C85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E06808"/>
    <w:multiLevelType w:val="multilevel"/>
    <w:tmpl w:val="8C8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26093">
    <w:abstractNumId w:val="3"/>
  </w:num>
  <w:num w:numId="2" w16cid:durableId="500662140">
    <w:abstractNumId w:val="1"/>
  </w:num>
  <w:num w:numId="3" w16cid:durableId="1135101926">
    <w:abstractNumId w:val="0"/>
  </w:num>
  <w:num w:numId="4" w16cid:durableId="1264921890">
    <w:abstractNumId w:val="2"/>
  </w:num>
  <w:num w:numId="5" w16cid:durableId="578486621">
    <w:abstractNumId w:val="6"/>
  </w:num>
  <w:num w:numId="6" w16cid:durableId="296304999">
    <w:abstractNumId w:val="4"/>
  </w:num>
  <w:num w:numId="7" w16cid:durableId="76515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A8"/>
    <w:rsid w:val="0001095A"/>
    <w:rsid w:val="00322E0F"/>
    <w:rsid w:val="006B491C"/>
    <w:rsid w:val="006D50BC"/>
    <w:rsid w:val="009B58CD"/>
    <w:rsid w:val="00B311A9"/>
    <w:rsid w:val="00B353DE"/>
    <w:rsid w:val="00CA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19B4"/>
  <w15:chartTrackingRefBased/>
  <w15:docId w15:val="{21507043-DBE7-4EC8-BD46-0DDB9D3A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0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2</cp:revision>
  <dcterms:created xsi:type="dcterms:W3CDTF">2026-10-21T07:49:00Z</dcterms:created>
  <dcterms:modified xsi:type="dcterms:W3CDTF">2026-10-21T12:33:00Z</dcterms:modified>
</cp:coreProperties>
</file>