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8A535A" w14:textId="77777777" w:rsidR="00296FF4" w:rsidRPr="00296FF4" w:rsidRDefault="00296FF4" w:rsidP="00296F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6FF4">
        <w:rPr>
          <w:rFonts w:ascii="Times New Roman" w:eastAsia="Times New Roman" w:hAnsi="Times New Roman" w:cs="Times New Roman"/>
          <w:kern w:val="0"/>
          <w14:ligatures w14:val="none"/>
        </w:rPr>
        <w:t xml:space="preserve">Below is a </w:t>
      </w:r>
      <w:r w:rsidRPr="00296F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high-level technology requirements checklist</w:t>
      </w:r>
      <w:r w:rsidRPr="00296FF4">
        <w:rPr>
          <w:rFonts w:ascii="Times New Roman" w:eastAsia="Times New Roman" w:hAnsi="Times New Roman" w:cs="Times New Roman"/>
          <w:kern w:val="0"/>
          <w14:ligatures w14:val="none"/>
        </w:rPr>
        <w:t xml:space="preserve"> for IMA readiness.</w:t>
      </w:r>
    </w:p>
    <w:p w14:paraId="08AC7CA4" w14:textId="0967328F" w:rsidR="00296FF4" w:rsidRPr="00296FF4" w:rsidRDefault="00296FF4" w:rsidP="00296F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6FF4">
        <w:rPr>
          <w:rFonts w:ascii="Times New Roman" w:eastAsia="Times New Roman" w:hAnsi="Times New Roman" w:cs="Times New Roman"/>
          <w:kern w:val="0"/>
          <w14:ligatures w14:val="none"/>
        </w:rPr>
        <w:t xml:space="preserve">FRTB IMA is not only “upgrade </w:t>
      </w:r>
      <w:proofErr w:type="spellStart"/>
      <w:r w:rsidRPr="00296FF4">
        <w:rPr>
          <w:rFonts w:ascii="Times New Roman" w:eastAsia="Times New Roman" w:hAnsi="Times New Roman" w:cs="Times New Roman"/>
          <w:kern w:val="0"/>
          <w14:ligatures w14:val="none"/>
        </w:rPr>
        <w:t>VaR</w:t>
      </w:r>
      <w:proofErr w:type="spellEnd"/>
      <w:r w:rsidRPr="00296FF4">
        <w:rPr>
          <w:rFonts w:ascii="Times New Roman" w:eastAsia="Times New Roman" w:hAnsi="Times New Roman" w:cs="Times New Roman"/>
          <w:kern w:val="0"/>
          <w14:ligatures w14:val="none"/>
        </w:rPr>
        <w:t xml:space="preserve"> to ES.” Tech needs to build the platform capability to calculate ES, classify risk factors, prove </w:t>
      </w:r>
      <w:proofErr w:type="spellStart"/>
      <w:r w:rsidRPr="00296FF4">
        <w:rPr>
          <w:rFonts w:ascii="Times New Roman" w:eastAsia="Times New Roman" w:hAnsi="Times New Roman" w:cs="Times New Roman"/>
          <w:kern w:val="0"/>
          <w14:ligatures w14:val="none"/>
        </w:rPr>
        <w:t>modellability</w:t>
      </w:r>
      <w:proofErr w:type="spellEnd"/>
      <w:r w:rsidRPr="00296FF4">
        <w:rPr>
          <w:rFonts w:ascii="Times New Roman" w:eastAsia="Times New Roman" w:hAnsi="Times New Roman" w:cs="Times New Roman"/>
          <w:kern w:val="0"/>
          <w14:ligatures w14:val="none"/>
        </w:rPr>
        <w:t>, support PLA/</w:t>
      </w:r>
      <w:proofErr w:type="spellStart"/>
      <w:r w:rsidRPr="00296FF4">
        <w:rPr>
          <w:rFonts w:ascii="Times New Roman" w:eastAsia="Times New Roman" w:hAnsi="Times New Roman" w:cs="Times New Roman"/>
          <w:kern w:val="0"/>
          <w14:ligatures w14:val="none"/>
        </w:rPr>
        <w:t>backtesting</w:t>
      </w:r>
      <w:proofErr w:type="spellEnd"/>
      <w:r w:rsidRPr="00296FF4">
        <w:rPr>
          <w:rFonts w:ascii="Times New Roman" w:eastAsia="Times New Roman" w:hAnsi="Times New Roman" w:cs="Times New Roman"/>
          <w:kern w:val="0"/>
          <w14:ligatures w14:val="none"/>
        </w:rPr>
        <w:t xml:space="preserve">, evidence controls, and explain failures. Basel’s market risk standard explicitly moves IMA to </w:t>
      </w:r>
      <w:r w:rsidRPr="00296F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Expected Shortfall</w:t>
      </w:r>
      <w:r w:rsidRPr="00296FF4">
        <w:rPr>
          <w:rFonts w:ascii="Times New Roman" w:eastAsia="Times New Roman" w:hAnsi="Times New Roman" w:cs="Times New Roman"/>
          <w:kern w:val="0"/>
          <w14:ligatures w14:val="none"/>
        </w:rPr>
        <w:t xml:space="preserve">, requires separate treatment for </w:t>
      </w:r>
      <w:r w:rsidRPr="00296F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non-modellable risk factors</w:t>
      </w:r>
      <w:r w:rsidRPr="00296FF4">
        <w:rPr>
          <w:rFonts w:ascii="Times New Roman" w:eastAsia="Times New Roman" w:hAnsi="Times New Roman" w:cs="Times New Roman"/>
          <w:kern w:val="0"/>
          <w14:ligatures w14:val="none"/>
        </w:rPr>
        <w:t xml:space="preserve">, and keeps the </w:t>
      </w:r>
      <w:proofErr w:type="spellStart"/>
      <w:r w:rsidRPr="00296F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Standardised</w:t>
      </w:r>
      <w:proofErr w:type="spellEnd"/>
      <w:r w:rsidRPr="00296F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Approach as fallback</w:t>
      </w:r>
      <w:r w:rsidRPr="00296FF4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5C3643FE" w14:textId="77777777" w:rsidR="00296FF4" w:rsidRPr="00296FF4" w:rsidRDefault="00296FF4" w:rsidP="00296F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96FF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Risk factor inventory and taxonomy</w:t>
      </w:r>
    </w:p>
    <w:p w14:paraId="28DB4BC1" w14:textId="3049B3C4" w:rsidR="00296FF4" w:rsidRPr="00296FF4" w:rsidRDefault="00296FF4" w:rsidP="00296F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6FF4">
        <w:rPr>
          <w:rFonts w:ascii="Times New Roman" w:eastAsia="Times New Roman" w:hAnsi="Times New Roman" w:cs="Times New Roman"/>
          <w:kern w:val="0"/>
          <w14:ligatures w14:val="none"/>
        </w:rPr>
        <w:t xml:space="preserve">Tech </w:t>
      </w:r>
      <w:r w:rsidR="005371DC">
        <w:rPr>
          <w:rFonts w:ascii="Times New Roman" w:eastAsia="Times New Roman" w:hAnsi="Times New Roman" w:cs="Times New Roman"/>
          <w:kern w:val="0"/>
          <w14:ligatures w14:val="none"/>
        </w:rPr>
        <w:t xml:space="preserve">would need </w:t>
      </w:r>
      <w:proofErr w:type="gramStart"/>
      <w:r w:rsidR="005371DC">
        <w:rPr>
          <w:rFonts w:ascii="Times New Roman" w:eastAsia="Times New Roman" w:hAnsi="Times New Roman" w:cs="Times New Roman"/>
          <w:kern w:val="0"/>
          <w14:ligatures w14:val="none"/>
        </w:rPr>
        <w:t xml:space="preserve">to </w:t>
      </w:r>
      <w:r w:rsidR="005371DC" w:rsidRPr="00296FF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96FF4">
        <w:rPr>
          <w:rFonts w:ascii="Times New Roman" w:eastAsia="Times New Roman" w:hAnsi="Times New Roman" w:cs="Times New Roman"/>
          <w:kern w:val="0"/>
          <w14:ligatures w14:val="none"/>
        </w:rPr>
        <w:t>build</w:t>
      </w:r>
      <w:proofErr w:type="gramEnd"/>
      <w:r w:rsidRPr="00296FF4">
        <w:rPr>
          <w:rFonts w:ascii="Times New Roman" w:eastAsia="Times New Roman" w:hAnsi="Times New Roman" w:cs="Times New Roman"/>
          <w:kern w:val="0"/>
          <w14:ligatures w14:val="none"/>
        </w:rPr>
        <w:t xml:space="preserve"> a golden inventory of all risk factors used in pricing, risk, PLA, </w:t>
      </w:r>
      <w:r w:rsidR="005371DC" w:rsidRPr="00296FF4">
        <w:rPr>
          <w:rFonts w:ascii="Times New Roman" w:eastAsia="Times New Roman" w:hAnsi="Times New Roman" w:cs="Times New Roman"/>
          <w:kern w:val="0"/>
          <w14:ligatures w14:val="none"/>
        </w:rPr>
        <w:t>back testing</w:t>
      </w:r>
      <w:r w:rsidRPr="00296FF4">
        <w:rPr>
          <w:rFonts w:ascii="Times New Roman" w:eastAsia="Times New Roman" w:hAnsi="Times New Roman" w:cs="Times New Roman"/>
          <w:kern w:val="0"/>
          <w14:ligatures w14:val="none"/>
        </w:rPr>
        <w:t>, and ES.</w:t>
      </w:r>
    </w:p>
    <w:p w14:paraId="7FF5F4D7" w14:textId="77777777" w:rsidR="00296FF4" w:rsidRPr="00296FF4" w:rsidRDefault="00296FF4" w:rsidP="00296F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6F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Requirements:</w:t>
      </w:r>
    </w:p>
    <w:p w14:paraId="19BED21F" w14:textId="77777777" w:rsidR="00296FF4" w:rsidRPr="00296FF4" w:rsidRDefault="00296FF4" w:rsidP="00296FF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6FF4">
        <w:rPr>
          <w:rFonts w:ascii="Times New Roman" w:eastAsia="Times New Roman" w:hAnsi="Times New Roman" w:cs="Times New Roman"/>
          <w:kern w:val="0"/>
          <w14:ligatures w14:val="none"/>
        </w:rPr>
        <w:t>Central risk factor catalog.</w:t>
      </w:r>
    </w:p>
    <w:p w14:paraId="488FA609" w14:textId="77777777" w:rsidR="00296FF4" w:rsidRPr="00296FF4" w:rsidRDefault="00296FF4" w:rsidP="00296FF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6FF4">
        <w:rPr>
          <w:rFonts w:ascii="Times New Roman" w:eastAsia="Times New Roman" w:hAnsi="Times New Roman" w:cs="Times New Roman"/>
          <w:kern w:val="0"/>
          <w14:ligatures w14:val="none"/>
        </w:rPr>
        <w:t>Asset class / currency / product / tenor / bucket taxonomy.</w:t>
      </w:r>
    </w:p>
    <w:p w14:paraId="49E178A4" w14:textId="77777777" w:rsidR="00296FF4" w:rsidRPr="00296FF4" w:rsidRDefault="00296FF4" w:rsidP="00296FF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6FF4">
        <w:rPr>
          <w:rFonts w:ascii="Times New Roman" w:eastAsia="Times New Roman" w:hAnsi="Times New Roman" w:cs="Times New Roman"/>
          <w:kern w:val="0"/>
          <w14:ligatures w14:val="none"/>
        </w:rPr>
        <w:t xml:space="preserve">Link between FO market data objects and Risk </w:t>
      </w:r>
      <w:proofErr w:type="spellStart"/>
      <w:r w:rsidRPr="00296FF4">
        <w:rPr>
          <w:rFonts w:ascii="Times New Roman" w:eastAsia="Times New Roman" w:hAnsi="Times New Roman" w:cs="Times New Roman"/>
          <w:kern w:val="0"/>
          <w14:ligatures w14:val="none"/>
        </w:rPr>
        <w:t>risk</w:t>
      </w:r>
      <w:proofErr w:type="spellEnd"/>
      <w:r w:rsidRPr="00296FF4">
        <w:rPr>
          <w:rFonts w:ascii="Times New Roman" w:eastAsia="Times New Roman" w:hAnsi="Times New Roman" w:cs="Times New Roman"/>
          <w:kern w:val="0"/>
          <w14:ligatures w14:val="none"/>
        </w:rPr>
        <w:t xml:space="preserve"> factors.</w:t>
      </w:r>
    </w:p>
    <w:p w14:paraId="69DE0F75" w14:textId="77777777" w:rsidR="00296FF4" w:rsidRPr="00296FF4" w:rsidRDefault="00296FF4" w:rsidP="00296FF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6FF4">
        <w:rPr>
          <w:rFonts w:ascii="Times New Roman" w:eastAsia="Times New Roman" w:hAnsi="Times New Roman" w:cs="Times New Roman"/>
          <w:kern w:val="0"/>
          <w14:ligatures w14:val="none"/>
        </w:rPr>
        <w:t>Classification by risk type: IR, FX, credit, equity, commodity, vol, basis, spread, etc.</w:t>
      </w:r>
    </w:p>
    <w:p w14:paraId="0703DA38" w14:textId="77777777" w:rsidR="00296FF4" w:rsidRPr="00296FF4" w:rsidRDefault="00296FF4" w:rsidP="00296FF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6FF4">
        <w:rPr>
          <w:rFonts w:ascii="Times New Roman" w:eastAsia="Times New Roman" w:hAnsi="Times New Roman" w:cs="Times New Roman"/>
          <w:kern w:val="0"/>
          <w14:ligatures w14:val="none"/>
        </w:rPr>
        <w:t>Liquidity horizon assignment for each risk factor.</w:t>
      </w:r>
    </w:p>
    <w:p w14:paraId="39D73A3C" w14:textId="77777777" w:rsidR="00296FF4" w:rsidRPr="00296FF4" w:rsidRDefault="00296FF4" w:rsidP="00296FF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6FF4">
        <w:rPr>
          <w:rFonts w:ascii="Times New Roman" w:eastAsia="Times New Roman" w:hAnsi="Times New Roman" w:cs="Times New Roman"/>
          <w:kern w:val="0"/>
          <w14:ligatures w14:val="none"/>
        </w:rPr>
        <w:t>Ability to identify missing, duplicate, composite, derived, and proxied risk factors.</w:t>
      </w:r>
    </w:p>
    <w:p w14:paraId="10E1E9DD" w14:textId="77777777" w:rsidR="00296FF4" w:rsidRPr="00296FF4" w:rsidRDefault="00296FF4" w:rsidP="00296F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6F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it matters:</w:t>
      </w:r>
      <w:r w:rsidRPr="00296FF4">
        <w:rPr>
          <w:rFonts w:ascii="Times New Roman" w:eastAsia="Times New Roman" w:hAnsi="Times New Roman" w:cs="Times New Roman"/>
          <w:kern w:val="0"/>
          <w14:ligatures w14:val="none"/>
        </w:rPr>
        <w:t xml:space="preserve"> every downstream IMA process depends on knowing exactly what the risk factor is and how it maps to data, pricing, shocks, and capital.</w:t>
      </w:r>
    </w:p>
    <w:p w14:paraId="45D58380" w14:textId="77777777" w:rsidR="00296FF4" w:rsidRPr="00296FF4" w:rsidRDefault="000477A6" w:rsidP="00296FF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5F5E62A">
          <v:rect id="_x0000_i1025" style="width:0;height:1.5pt" o:hralign="center" o:hrstd="t" o:hr="t" fillcolor="#a0a0a0" stroked="f"/>
        </w:pict>
      </w:r>
    </w:p>
    <w:p w14:paraId="2B229287" w14:textId="77777777" w:rsidR="00296FF4" w:rsidRPr="00296FF4" w:rsidRDefault="00296FF4" w:rsidP="00296F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96FF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RPO ingestion and storage</w:t>
      </w:r>
    </w:p>
    <w:p w14:paraId="685C1464" w14:textId="20970BC4" w:rsidR="00296FF4" w:rsidRPr="00296FF4" w:rsidRDefault="00296FF4" w:rsidP="00296F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6FF4">
        <w:rPr>
          <w:rFonts w:ascii="Times New Roman" w:eastAsia="Times New Roman" w:hAnsi="Times New Roman" w:cs="Times New Roman"/>
          <w:kern w:val="0"/>
          <w14:ligatures w14:val="none"/>
        </w:rPr>
        <w:t xml:space="preserve">Tech </w:t>
      </w:r>
      <w:r w:rsidR="005371DC">
        <w:rPr>
          <w:rFonts w:ascii="Times New Roman" w:eastAsia="Times New Roman" w:hAnsi="Times New Roman" w:cs="Times New Roman"/>
          <w:kern w:val="0"/>
          <w14:ligatures w14:val="none"/>
        </w:rPr>
        <w:t xml:space="preserve">would need to </w:t>
      </w:r>
      <w:r w:rsidR="005371DC" w:rsidRPr="00296FF4">
        <w:rPr>
          <w:rFonts w:ascii="Times New Roman" w:eastAsia="Times New Roman" w:hAnsi="Times New Roman" w:cs="Times New Roman"/>
          <w:kern w:val="0"/>
          <w14:ligatures w14:val="none"/>
        </w:rPr>
        <w:t>build</w:t>
      </w:r>
      <w:r w:rsidRPr="00296FF4">
        <w:rPr>
          <w:rFonts w:ascii="Times New Roman" w:eastAsia="Times New Roman" w:hAnsi="Times New Roman" w:cs="Times New Roman"/>
          <w:kern w:val="0"/>
          <w14:ligatures w14:val="none"/>
        </w:rPr>
        <w:t xml:space="preserve"> or integrate a Real Price Observation platform.</w:t>
      </w:r>
    </w:p>
    <w:p w14:paraId="2F8727E1" w14:textId="77777777" w:rsidR="00296FF4" w:rsidRPr="00296FF4" w:rsidRDefault="00296FF4" w:rsidP="00296F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6F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Requirements:</w:t>
      </w:r>
    </w:p>
    <w:p w14:paraId="6F11BDA0" w14:textId="77777777" w:rsidR="00296FF4" w:rsidRDefault="00296FF4" w:rsidP="00296FF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6FF4">
        <w:rPr>
          <w:rFonts w:ascii="Times New Roman" w:eastAsia="Times New Roman" w:hAnsi="Times New Roman" w:cs="Times New Roman"/>
          <w:kern w:val="0"/>
          <w14:ligatures w14:val="none"/>
        </w:rPr>
        <w:t>Ingest executed trades, actionable quotes, committed quotes, vendor RPOs, and internal/external observations.</w:t>
      </w:r>
    </w:p>
    <w:p w14:paraId="4C9A409A" w14:textId="668D8BE0" w:rsidR="009F07AF" w:rsidRPr="00296FF4" w:rsidRDefault="009F07AF" w:rsidP="00296FF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Filter indicative prices, internal marks, </w:t>
      </w:r>
      <w:r w:rsidR="00296D28">
        <w:rPr>
          <w:rFonts w:ascii="Times New Roman" w:eastAsia="Times New Roman" w:hAnsi="Times New Roman" w:cs="Times New Roman"/>
          <w:kern w:val="0"/>
          <w14:ligatures w14:val="none"/>
        </w:rPr>
        <w:t xml:space="preserve">non-actionable quotes. </w:t>
      </w:r>
    </w:p>
    <w:p w14:paraId="16A489A1" w14:textId="111CDF6F" w:rsidR="00296FF4" w:rsidRPr="00296FF4" w:rsidRDefault="00296FF4" w:rsidP="00296FF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6FF4">
        <w:rPr>
          <w:rFonts w:ascii="Times New Roman" w:eastAsia="Times New Roman" w:hAnsi="Times New Roman" w:cs="Times New Roman"/>
          <w:kern w:val="0"/>
          <w14:ligatures w14:val="none"/>
        </w:rPr>
        <w:t xml:space="preserve">Store </w:t>
      </w:r>
      <w:r w:rsidR="00591A7E">
        <w:rPr>
          <w:rFonts w:ascii="Times New Roman" w:eastAsia="Times New Roman" w:hAnsi="Times New Roman" w:cs="Times New Roman"/>
          <w:kern w:val="0"/>
          <w14:ligatures w14:val="none"/>
        </w:rPr>
        <w:t xml:space="preserve">by </w:t>
      </w:r>
      <w:r w:rsidRPr="00296FF4">
        <w:rPr>
          <w:rFonts w:ascii="Times New Roman" w:eastAsia="Times New Roman" w:hAnsi="Times New Roman" w:cs="Times New Roman"/>
          <w:kern w:val="0"/>
          <w14:ligatures w14:val="none"/>
        </w:rPr>
        <w:t xml:space="preserve">source, timestamp, </w:t>
      </w:r>
      <w:r w:rsidR="00591A7E">
        <w:rPr>
          <w:rFonts w:ascii="Times New Roman" w:eastAsia="Times New Roman" w:hAnsi="Times New Roman" w:cs="Times New Roman"/>
          <w:kern w:val="0"/>
          <w14:ligatures w14:val="none"/>
        </w:rPr>
        <w:t>observation</w:t>
      </w:r>
      <w:r w:rsidRPr="00296FF4">
        <w:rPr>
          <w:rFonts w:ascii="Times New Roman" w:eastAsia="Times New Roman" w:hAnsi="Times New Roman" w:cs="Times New Roman"/>
          <w:kern w:val="0"/>
          <w14:ligatures w14:val="none"/>
        </w:rPr>
        <w:t xml:space="preserve"> ID</w:t>
      </w:r>
      <w:r w:rsidR="00591A7E">
        <w:rPr>
          <w:rFonts w:ascii="Times New Roman" w:eastAsia="Times New Roman" w:hAnsi="Times New Roman" w:cs="Times New Roman"/>
          <w:kern w:val="0"/>
          <w14:ligatures w14:val="none"/>
        </w:rPr>
        <w:t>/Type</w:t>
      </w:r>
      <w:r w:rsidRPr="00296FF4">
        <w:rPr>
          <w:rFonts w:ascii="Times New Roman" w:eastAsia="Times New Roman" w:hAnsi="Times New Roman" w:cs="Times New Roman"/>
          <w:kern w:val="0"/>
          <w14:ligatures w14:val="none"/>
        </w:rPr>
        <w:t>, price</w:t>
      </w:r>
      <w:r w:rsidR="008A4011">
        <w:rPr>
          <w:rFonts w:ascii="Times New Roman" w:eastAsia="Times New Roman" w:hAnsi="Times New Roman" w:cs="Times New Roman"/>
          <w:kern w:val="0"/>
          <w14:ligatures w14:val="none"/>
        </w:rPr>
        <w:t xml:space="preserve"> type</w:t>
      </w:r>
      <w:r w:rsidRPr="00296FF4">
        <w:rPr>
          <w:rFonts w:ascii="Times New Roman" w:eastAsia="Times New Roman" w:hAnsi="Times New Roman" w:cs="Times New Roman"/>
          <w:kern w:val="0"/>
          <w14:ligatures w14:val="none"/>
        </w:rPr>
        <w:t>, currency, maturity, product type,</w:t>
      </w:r>
      <w:r w:rsidR="008A401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EF0902">
        <w:rPr>
          <w:rFonts w:ascii="Times New Roman" w:eastAsia="Times New Roman" w:hAnsi="Times New Roman" w:cs="Times New Roman"/>
          <w:kern w:val="0"/>
          <w14:ligatures w14:val="none"/>
        </w:rPr>
        <w:t xml:space="preserve">subtype, </w:t>
      </w:r>
      <w:r w:rsidR="00EF0902" w:rsidRPr="00296FF4">
        <w:rPr>
          <w:rFonts w:ascii="Times New Roman" w:eastAsia="Times New Roman" w:hAnsi="Times New Roman" w:cs="Times New Roman"/>
          <w:kern w:val="0"/>
          <w14:ligatures w14:val="none"/>
        </w:rPr>
        <w:t>quote</w:t>
      </w:r>
      <w:r w:rsidRPr="00296FF4">
        <w:rPr>
          <w:rFonts w:ascii="Times New Roman" w:eastAsia="Times New Roman" w:hAnsi="Times New Roman" w:cs="Times New Roman"/>
          <w:kern w:val="0"/>
          <w14:ligatures w14:val="none"/>
        </w:rPr>
        <w:t xml:space="preserve"> type, </w:t>
      </w:r>
      <w:r w:rsidR="008A4011">
        <w:rPr>
          <w:rFonts w:ascii="Times New Roman" w:eastAsia="Times New Roman" w:hAnsi="Times New Roman" w:cs="Times New Roman"/>
          <w:kern w:val="0"/>
          <w14:ligatures w14:val="none"/>
        </w:rPr>
        <w:t>relevant attributes</w:t>
      </w:r>
      <w:r w:rsidR="00EF0902">
        <w:rPr>
          <w:rFonts w:ascii="Times New Roman" w:eastAsia="Times New Roman" w:hAnsi="Times New Roman" w:cs="Times New Roman"/>
          <w:kern w:val="0"/>
          <w14:ligatures w14:val="none"/>
        </w:rPr>
        <w:t xml:space="preserve">/meta data </w:t>
      </w:r>
      <w:r w:rsidR="00243249">
        <w:rPr>
          <w:rFonts w:ascii="Times New Roman" w:eastAsia="Times New Roman" w:hAnsi="Times New Roman" w:cs="Times New Roman"/>
          <w:kern w:val="0"/>
          <w14:ligatures w14:val="none"/>
        </w:rPr>
        <w:t>per product type</w:t>
      </w:r>
    </w:p>
    <w:p w14:paraId="4140AB8C" w14:textId="77777777" w:rsidR="00296FF4" w:rsidRDefault="00296FF4" w:rsidP="00296FF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6FF4">
        <w:rPr>
          <w:rFonts w:ascii="Times New Roman" w:eastAsia="Times New Roman" w:hAnsi="Times New Roman" w:cs="Times New Roman"/>
          <w:kern w:val="0"/>
          <w14:ligatures w14:val="none"/>
        </w:rPr>
        <w:t>Normalize RPOs across vendors and internal systems.</w:t>
      </w:r>
    </w:p>
    <w:p w14:paraId="70FBDF6D" w14:textId="273A6B44" w:rsidR="00EF0902" w:rsidRPr="00296FF4" w:rsidRDefault="00EF0902" w:rsidP="00296FF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Aggregate RPOs per </w:t>
      </w:r>
    </w:p>
    <w:p w14:paraId="6901ED54" w14:textId="77777777" w:rsidR="00296FF4" w:rsidRPr="00296FF4" w:rsidRDefault="00296FF4" w:rsidP="00296FF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6FF4">
        <w:rPr>
          <w:rFonts w:ascii="Times New Roman" w:eastAsia="Times New Roman" w:hAnsi="Times New Roman" w:cs="Times New Roman"/>
          <w:kern w:val="0"/>
          <w14:ligatures w14:val="none"/>
        </w:rPr>
        <w:t>Maintain full audit trail.</w:t>
      </w:r>
    </w:p>
    <w:p w14:paraId="09FA96B2" w14:textId="77777777" w:rsidR="00296FF4" w:rsidRPr="00296FF4" w:rsidRDefault="00296FF4" w:rsidP="00296FF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6FF4">
        <w:rPr>
          <w:rFonts w:ascii="Times New Roman" w:eastAsia="Times New Roman" w:hAnsi="Times New Roman" w:cs="Times New Roman"/>
          <w:kern w:val="0"/>
          <w14:ligatures w14:val="none"/>
        </w:rPr>
        <w:t>Support “one observation per day” logic.</w:t>
      </w:r>
    </w:p>
    <w:p w14:paraId="6D73E2B5" w14:textId="4685AE90" w:rsidR="00296FF4" w:rsidRPr="00296FF4" w:rsidRDefault="00296FF4" w:rsidP="00296FF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6FF4">
        <w:rPr>
          <w:rFonts w:ascii="Times New Roman" w:eastAsia="Times New Roman" w:hAnsi="Times New Roman" w:cs="Times New Roman"/>
          <w:kern w:val="0"/>
          <w14:ligatures w14:val="none"/>
        </w:rPr>
        <w:t xml:space="preserve">Support RPO bucketing </w:t>
      </w:r>
      <w:r w:rsidR="00500606">
        <w:rPr>
          <w:rFonts w:ascii="Times New Roman" w:eastAsia="Times New Roman" w:hAnsi="Times New Roman" w:cs="Times New Roman"/>
          <w:kern w:val="0"/>
          <w14:ligatures w14:val="none"/>
        </w:rPr>
        <w:t xml:space="preserve">and bucket-aging </w:t>
      </w:r>
      <w:r w:rsidRPr="00296FF4">
        <w:rPr>
          <w:rFonts w:ascii="Times New Roman" w:eastAsia="Times New Roman" w:hAnsi="Times New Roman" w:cs="Times New Roman"/>
          <w:kern w:val="0"/>
          <w14:ligatures w14:val="none"/>
        </w:rPr>
        <w:t>by risk factor and tenor</w:t>
      </w:r>
      <w:r w:rsidR="00536666">
        <w:rPr>
          <w:rFonts w:ascii="Times New Roman" w:eastAsia="Times New Roman" w:hAnsi="Times New Roman" w:cs="Times New Roman"/>
          <w:kern w:val="0"/>
          <w14:ligatures w14:val="none"/>
        </w:rPr>
        <w:t xml:space="preserve"> and maturity </w:t>
      </w:r>
    </w:p>
    <w:p w14:paraId="11CD34DD" w14:textId="77777777" w:rsidR="00296FF4" w:rsidRPr="00296FF4" w:rsidRDefault="00296FF4" w:rsidP="00296F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6F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Why it matters:</w:t>
      </w:r>
      <w:r w:rsidRPr="00296FF4">
        <w:rPr>
          <w:rFonts w:ascii="Times New Roman" w:eastAsia="Times New Roman" w:hAnsi="Times New Roman" w:cs="Times New Roman"/>
          <w:kern w:val="0"/>
          <w14:ligatures w14:val="none"/>
        </w:rPr>
        <w:t xml:space="preserve"> RFET cannot be automated unless RPOs are cleanly stored, normalized, and mapped.</w:t>
      </w:r>
    </w:p>
    <w:p w14:paraId="0871C68C" w14:textId="77777777" w:rsidR="00296FF4" w:rsidRPr="00296FF4" w:rsidRDefault="000477A6" w:rsidP="00296FF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58B8E62">
          <v:rect id="_x0000_i1026" style="width:0;height:1.5pt" o:hralign="center" o:hrstd="t" o:hr="t" fillcolor="#a0a0a0" stroked="f"/>
        </w:pict>
      </w:r>
    </w:p>
    <w:p w14:paraId="0FDAAE8C" w14:textId="77777777" w:rsidR="00296FF4" w:rsidRPr="00296FF4" w:rsidRDefault="00296FF4" w:rsidP="00296F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96FF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RPO-to-risk-factor mapping engine</w:t>
      </w:r>
    </w:p>
    <w:p w14:paraId="5366E17D" w14:textId="77777777" w:rsidR="00296FF4" w:rsidRPr="00296FF4" w:rsidRDefault="00296FF4" w:rsidP="00296F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6FF4">
        <w:rPr>
          <w:rFonts w:ascii="Times New Roman" w:eastAsia="Times New Roman" w:hAnsi="Times New Roman" w:cs="Times New Roman"/>
          <w:kern w:val="0"/>
          <w14:ligatures w14:val="none"/>
        </w:rPr>
        <w:t>This is one of the hardest technology builds.</w:t>
      </w:r>
    </w:p>
    <w:p w14:paraId="2CE54DD4" w14:textId="77777777" w:rsidR="00296FF4" w:rsidRPr="00296FF4" w:rsidRDefault="00296FF4" w:rsidP="00296F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6F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Requirements:</w:t>
      </w:r>
    </w:p>
    <w:p w14:paraId="73E79A8D" w14:textId="77777777" w:rsidR="00296FF4" w:rsidRPr="00296FF4" w:rsidRDefault="00296FF4" w:rsidP="00296FF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6FF4">
        <w:rPr>
          <w:rFonts w:ascii="Times New Roman" w:eastAsia="Times New Roman" w:hAnsi="Times New Roman" w:cs="Times New Roman"/>
          <w:kern w:val="0"/>
          <w14:ligatures w14:val="none"/>
        </w:rPr>
        <w:t>Map each RPO to one or multiple risk factors.</w:t>
      </w:r>
    </w:p>
    <w:p w14:paraId="1720F994" w14:textId="77777777" w:rsidR="00296FF4" w:rsidRPr="00296FF4" w:rsidRDefault="00296FF4" w:rsidP="00296FF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6FF4">
        <w:rPr>
          <w:rFonts w:ascii="Times New Roman" w:eastAsia="Times New Roman" w:hAnsi="Times New Roman" w:cs="Times New Roman"/>
          <w:kern w:val="0"/>
          <w14:ligatures w14:val="none"/>
        </w:rPr>
        <w:t>Support single-dimensional RFs, such as FX spot.</w:t>
      </w:r>
    </w:p>
    <w:p w14:paraId="67135B09" w14:textId="77777777" w:rsidR="00296FF4" w:rsidRPr="00296FF4" w:rsidRDefault="00296FF4" w:rsidP="00296FF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6FF4">
        <w:rPr>
          <w:rFonts w:ascii="Times New Roman" w:eastAsia="Times New Roman" w:hAnsi="Times New Roman" w:cs="Times New Roman"/>
          <w:kern w:val="0"/>
          <w14:ligatures w14:val="none"/>
        </w:rPr>
        <w:t>Support curve RFs, such as IR and credit spread tenors.</w:t>
      </w:r>
    </w:p>
    <w:p w14:paraId="6C9851EB" w14:textId="77777777" w:rsidR="00296FF4" w:rsidRPr="00296FF4" w:rsidRDefault="00296FF4" w:rsidP="00296FF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6FF4">
        <w:rPr>
          <w:rFonts w:ascii="Times New Roman" w:eastAsia="Times New Roman" w:hAnsi="Times New Roman" w:cs="Times New Roman"/>
          <w:kern w:val="0"/>
          <w14:ligatures w14:val="none"/>
        </w:rPr>
        <w:t>Support surface RFs, such as equity vol, FX vol, IR vol.</w:t>
      </w:r>
    </w:p>
    <w:p w14:paraId="2A8B828F" w14:textId="77777777" w:rsidR="00296FF4" w:rsidRPr="00296FF4" w:rsidRDefault="00296FF4" w:rsidP="00296FF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6FF4">
        <w:rPr>
          <w:rFonts w:ascii="Times New Roman" w:eastAsia="Times New Roman" w:hAnsi="Times New Roman" w:cs="Times New Roman"/>
          <w:kern w:val="0"/>
          <w14:ligatures w14:val="none"/>
        </w:rPr>
        <w:t xml:space="preserve">Support composed instruments, such as </w:t>
      </w:r>
      <w:proofErr w:type="spellStart"/>
      <w:r w:rsidRPr="00296FF4">
        <w:rPr>
          <w:rFonts w:ascii="Times New Roman" w:eastAsia="Times New Roman" w:hAnsi="Times New Roman" w:cs="Times New Roman"/>
          <w:kern w:val="0"/>
          <w14:ligatures w14:val="none"/>
        </w:rPr>
        <w:t>xccy</w:t>
      </w:r>
      <w:proofErr w:type="spellEnd"/>
      <w:r w:rsidRPr="00296FF4">
        <w:rPr>
          <w:rFonts w:ascii="Times New Roman" w:eastAsia="Times New Roman" w:hAnsi="Times New Roman" w:cs="Times New Roman"/>
          <w:kern w:val="0"/>
          <w14:ligatures w14:val="none"/>
        </w:rPr>
        <w:t xml:space="preserve"> swaps, callable bonds, and structured products.</w:t>
      </w:r>
    </w:p>
    <w:p w14:paraId="451C67DD" w14:textId="77777777" w:rsidR="00296FF4" w:rsidRPr="00296FF4" w:rsidRDefault="00296FF4" w:rsidP="00296FF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6FF4">
        <w:rPr>
          <w:rFonts w:ascii="Times New Roman" w:eastAsia="Times New Roman" w:hAnsi="Times New Roman" w:cs="Times New Roman"/>
          <w:kern w:val="0"/>
          <w14:ligatures w14:val="none"/>
        </w:rPr>
        <w:t>Store mapping confidence, mapping rule, effective date, and reviewer approval.</w:t>
      </w:r>
    </w:p>
    <w:p w14:paraId="6DC960CD" w14:textId="77777777" w:rsidR="00296FF4" w:rsidRPr="00296FF4" w:rsidRDefault="00296FF4" w:rsidP="00296FF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6FF4">
        <w:rPr>
          <w:rFonts w:ascii="Times New Roman" w:eastAsia="Times New Roman" w:hAnsi="Times New Roman" w:cs="Times New Roman"/>
          <w:kern w:val="0"/>
          <w14:ligatures w14:val="none"/>
        </w:rPr>
        <w:t>Identify unmapped RPOs and unmapped risk factors.</w:t>
      </w:r>
    </w:p>
    <w:p w14:paraId="6193784E" w14:textId="77777777" w:rsidR="00296FF4" w:rsidRPr="00296FF4" w:rsidRDefault="00296FF4" w:rsidP="00296F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6F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Key point:</w:t>
      </w:r>
      <w:r w:rsidRPr="00296FF4">
        <w:rPr>
          <w:rFonts w:ascii="Times New Roman" w:eastAsia="Times New Roman" w:hAnsi="Times New Roman" w:cs="Times New Roman"/>
          <w:kern w:val="0"/>
          <w14:ligatures w14:val="none"/>
        </w:rPr>
        <w:t xml:space="preserve"> one real transaction may support multiple risk factors only if the system can prove the risk-factor value is extractable from that transaction.</w:t>
      </w:r>
    </w:p>
    <w:p w14:paraId="717B2E76" w14:textId="77777777" w:rsidR="00296FF4" w:rsidRPr="00296FF4" w:rsidRDefault="000477A6" w:rsidP="00296FF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5E21720">
          <v:rect id="_x0000_i1027" style="width:0;height:1.5pt" o:hralign="center" o:hrstd="t" o:hr="t" fillcolor="#a0a0a0" stroked="f"/>
        </w:pict>
      </w:r>
    </w:p>
    <w:p w14:paraId="1DB254D0" w14:textId="77777777" w:rsidR="00296FF4" w:rsidRPr="00296FF4" w:rsidRDefault="00296FF4" w:rsidP="00296F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96FF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RFET quantitative test engine</w:t>
      </w:r>
    </w:p>
    <w:p w14:paraId="5D6C716C" w14:textId="77777777" w:rsidR="00296FF4" w:rsidRPr="00296FF4" w:rsidRDefault="00296FF4" w:rsidP="00296F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6FF4">
        <w:rPr>
          <w:rFonts w:ascii="Times New Roman" w:eastAsia="Times New Roman" w:hAnsi="Times New Roman" w:cs="Times New Roman"/>
          <w:kern w:val="0"/>
          <w14:ligatures w14:val="none"/>
        </w:rPr>
        <w:t xml:space="preserve">Tech needs an automated engine to determine which risk factors pass the </w:t>
      </w:r>
      <w:proofErr w:type="spellStart"/>
      <w:r w:rsidRPr="00296FF4">
        <w:rPr>
          <w:rFonts w:ascii="Times New Roman" w:eastAsia="Times New Roman" w:hAnsi="Times New Roman" w:cs="Times New Roman"/>
          <w:kern w:val="0"/>
          <w14:ligatures w14:val="none"/>
        </w:rPr>
        <w:t>modellability</w:t>
      </w:r>
      <w:proofErr w:type="spellEnd"/>
      <w:r w:rsidRPr="00296FF4">
        <w:rPr>
          <w:rFonts w:ascii="Times New Roman" w:eastAsia="Times New Roman" w:hAnsi="Times New Roman" w:cs="Times New Roman"/>
          <w:kern w:val="0"/>
          <w14:ligatures w14:val="none"/>
        </w:rPr>
        <w:t xml:space="preserve"> observation-count test.</w:t>
      </w:r>
    </w:p>
    <w:p w14:paraId="24482F7A" w14:textId="77777777" w:rsidR="00296FF4" w:rsidRPr="00296FF4" w:rsidRDefault="00296FF4" w:rsidP="00296F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6F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Requirements:</w:t>
      </w:r>
    </w:p>
    <w:p w14:paraId="00521CBD" w14:textId="77777777" w:rsidR="00296FF4" w:rsidRPr="00296FF4" w:rsidRDefault="00296FF4" w:rsidP="00296FF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6FF4">
        <w:rPr>
          <w:rFonts w:ascii="Times New Roman" w:eastAsia="Times New Roman" w:hAnsi="Times New Roman" w:cs="Times New Roman"/>
          <w:kern w:val="0"/>
          <w14:ligatures w14:val="none"/>
        </w:rPr>
        <w:t>Count valid RPOs over the prior 12 months.</w:t>
      </w:r>
    </w:p>
    <w:p w14:paraId="692521B9" w14:textId="77777777" w:rsidR="00296FF4" w:rsidRPr="00296FF4" w:rsidRDefault="00296FF4" w:rsidP="00296FF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6FF4">
        <w:rPr>
          <w:rFonts w:ascii="Times New Roman" w:eastAsia="Times New Roman" w:hAnsi="Times New Roman" w:cs="Times New Roman"/>
          <w:kern w:val="0"/>
          <w14:ligatures w14:val="none"/>
        </w:rPr>
        <w:t>Apply minimum observation thresholds.</w:t>
      </w:r>
    </w:p>
    <w:p w14:paraId="508BB6B6" w14:textId="77777777" w:rsidR="00296FF4" w:rsidRPr="00296FF4" w:rsidRDefault="00296FF4" w:rsidP="00296FF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6FF4">
        <w:rPr>
          <w:rFonts w:ascii="Times New Roman" w:eastAsia="Times New Roman" w:hAnsi="Times New Roman" w:cs="Times New Roman"/>
          <w:kern w:val="0"/>
          <w14:ligatures w14:val="none"/>
        </w:rPr>
        <w:t>Apply max-gap logic.</w:t>
      </w:r>
    </w:p>
    <w:p w14:paraId="1AED39B0" w14:textId="77777777" w:rsidR="00296FF4" w:rsidRPr="00296FF4" w:rsidRDefault="00296FF4" w:rsidP="00296FF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6FF4">
        <w:rPr>
          <w:rFonts w:ascii="Times New Roman" w:eastAsia="Times New Roman" w:hAnsi="Times New Roman" w:cs="Times New Roman"/>
          <w:kern w:val="0"/>
          <w14:ligatures w14:val="none"/>
        </w:rPr>
        <w:t>Enforce one observation per day.</w:t>
      </w:r>
    </w:p>
    <w:p w14:paraId="19CAD90D" w14:textId="77777777" w:rsidR="00296FF4" w:rsidRPr="00296FF4" w:rsidRDefault="00296FF4" w:rsidP="00296FF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6FF4">
        <w:rPr>
          <w:rFonts w:ascii="Times New Roman" w:eastAsia="Times New Roman" w:hAnsi="Times New Roman" w:cs="Times New Roman"/>
          <w:kern w:val="0"/>
          <w14:ligatures w14:val="none"/>
        </w:rPr>
        <w:t>Run by risk factor, bucket, desk, asset class, and legal entity.</w:t>
      </w:r>
    </w:p>
    <w:p w14:paraId="15F57F79" w14:textId="77777777" w:rsidR="00296FF4" w:rsidRPr="00296FF4" w:rsidRDefault="00296FF4" w:rsidP="00296FF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6FF4">
        <w:rPr>
          <w:rFonts w:ascii="Times New Roman" w:eastAsia="Times New Roman" w:hAnsi="Times New Roman" w:cs="Times New Roman"/>
          <w:kern w:val="0"/>
          <w14:ligatures w14:val="none"/>
        </w:rPr>
        <w:t>Produce pass/fail results.</w:t>
      </w:r>
    </w:p>
    <w:p w14:paraId="0627FDD5" w14:textId="77777777" w:rsidR="00296FF4" w:rsidRPr="00296FF4" w:rsidRDefault="00296FF4" w:rsidP="00296FF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6FF4">
        <w:rPr>
          <w:rFonts w:ascii="Times New Roman" w:eastAsia="Times New Roman" w:hAnsi="Times New Roman" w:cs="Times New Roman"/>
          <w:kern w:val="0"/>
          <w14:ligatures w14:val="none"/>
        </w:rPr>
        <w:t>Store historical results by quarter.</w:t>
      </w:r>
    </w:p>
    <w:p w14:paraId="474182AF" w14:textId="77777777" w:rsidR="00296FF4" w:rsidRPr="00296FF4" w:rsidRDefault="00296FF4" w:rsidP="00296FF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6FF4">
        <w:rPr>
          <w:rFonts w:ascii="Times New Roman" w:eastAsia="Times New Roman" w:hAnsi="Times New Roman" w:cs="Times New Roman"/>
          <w:kern w:val="0"/>
          <w14:ligatures w14:val="none"/>
        </w:rPr>
        <w:t>Generate evidence packs for regulators and Model Risk.</w:t>
      </w:r>
    </w:p>
    <w:p w14:paraId="13FF5C5F" w14:textId="77777777" w:rsidR="00296FF4" w:rsidRPr="00296FF4" w:rsidRDefault="000477A6" w:rsidP="00296FF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D9DF215">
          <v:rect id="_x0000_i1028" style="width:0;height:1.5pt" o:hralign="center" o:hrstd="t" o:hr="t" fillcolor="#a0a0a0" stroked="f"/>
        </w:pict>
      </w:r>
    </w:p>
    <w:p w14:paraId="46875CE3" w14:textId="77777777" w:rsidR="00296FF4" w:rsidRPr="00296FF4" w:rsidRDefault="00296FF4" w:rsidP="00296F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96FF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RFET qualitative test workflow</w:t>
      </w:r>
    </w:p>
    <w:p w14:paraId="52034908" w14:textId="77777777" w:rsidR="00296FF4" w:rsidRPr="00296FF4" w:rsidRDefault="00296FF4" w:rsidP="00296F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6FF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Tech cannot treat </w:t>
      </w:r>
      <w:proofErr w:type="spellStart"/>
      <w:r w:rsidRPr="00296FF4">
        <w:rPr>
          <w:rFonts w:ascii="Times New Roman" w:eastAsia="Times New Roman" w:hAnsi="Times New Roman" w:cs="Times New Roman"/>
          <w:kern w:val="0"/>
          <w14:ligatures w14:val="none"/>
        </w:rPr>
        <w:t>modellability</w:t>
      </w:r>
      <w:proofErr w:type="spellEnd"/>
      <w:r w:rsidRPr="00296FF4">
        <w:rPr>
          <w:rFonts w:ascii="Times New Roman" w:eastAsia="Times New Roman" w:hAnsi="Times New Roman" w:cs="Times New Roman"/>
          <w:kern w:val="0"/>
          <w14:ligatures w14:val="none"/>
        </w:rPr>
        <w:t xml:space="preserve"> as just a count test. There must be workflow and evidence for qualitative suitability.</w:t>
      </w:r>
    </w:p>
    <w:p w14:paraId="63158634" w14:textId="77777777" w:rsidR="00296FF4" w:rsidRPr="00296FF4" w:rsidRDefault="00296FF4" w:rsidP="00296F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6F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Requirements:</w:t>
      </w:r>
    </w:p>
    <w:p w14:paraId="4BCA71F9" w14:textId="77777777" w:rsidR="00296FF4" w:rsidRPr="00296FF4" w:rsidRDefault="00296FF4" w:rsidP="00296FF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6FF4">
        <w:rPr>
          <w:rFonts w:ascii="Times New Roman" w:eastAsia="Times New Roman" w:hAnsi="Times New Roman" w:cs="Times New Roman"/>
          <w:kern w:val="0"/>
          <w14:ligatures w14:val="none"/>
        </w:rPr>
        <w:t>Qualitative assessment workflow.</w:t>
      </w:r>
    </w:p>
    <w:p w14:paraId="30834BAE" w14:textId="77777777" w:rsidR="00296FF4" w:rsidRPr="00296FF4" w:rsidRDefault="00296FF4" w:rsidP="00296FF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6FF4">
        <w:rPr>
          <w:rFonts w:ascii="Times New Roman" w:eastAsia="Times New Roman" w:hAnsi="Times New Roman" w:cs="Times New Roman"/>
          <w:kern w:val="0"/>
          <w14:ligatures w14:val="none"/>
        </w:rPr>
        <w:t>Proxy quality checks.</w:t>
      </w:r>
    </w:p>
    <w:p w14:paraId="37FB0D1B" w14:textId="77777777" w:rsidR="00296FF4" w:rsidRPr="00296FF4" w:rsidRDefault="00296FF4" w:rsidP="00296FF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6FF4">
        <w:rPr>
          <w:rFonts w:ascii="Times New Roman" w:eastAsia="Times New Roman" w:hAnsi="Times New Roman" w:cs="Times New Roman"/>
          <w:kern w:val="0"/>
          <w14:ligatures w14:val="none"/>
        </w:rPr>
        <w:t>Idiosyncratic vs systematic risk assessment.</w:t>
      </w:r>
    </w:p>
    <w:p w14:paraId="353295CF" w14:textId="77777777" w:rsidR="00296FF4" w:rsidRPr="00296FF4" w:rsidRDefault="00296FF4" w:rsidP="00296FF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6FF4">
        <w:rPr>
          <w:rFonts w:ascii="Times New Roman" w:eastAsia="Times New Roman" w:hAnsi="Times New Roman" w:cs="Times New Roman"/>
          <w:kern w:val="0"/>
          <w14:ligatures w14:val="none"/>
        </w:rPr>
        <w:t>Data representativeness checks.</w:t>
      </w:r>
    </w:p>
    <w:p w14:paraId="70A9E73C" w14:textId="77777777" w:rsidR="00296FF4" w:rsidRPr="00296FF4" w:rsidRDefault="00296FF4" w:rsidP="00296FF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6FF4">
        <w:rPr>
          <w:rFonts w:ascii="Times New Roman" w:eastAsia="Times New Roman" w:hAnsi="Times New Roman" w:cs="Times New Roman"/>
          <w:kern w:val="0"/>
          <w14:ligatures w14:val="none"/>
        </w:rPr>
        <w:t>Curve/surface calibration input checks.</w:t>
      </w:r>
    </w:p>
    <w:p w14:paraId="4118DC1D" w14:textId="77777777" w:rsidR="00296FF4" w:rsidRPr="00296FF4" w:rsidRDefault="00296FF4" w:rsidP="00296FF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6FF4">
        <w:rPr>
          <w:rFonts w:ascii="Times New Roman" w:eastAsia="Times New Roman" w:hAnsi="Times New Roman" w:cs="Times New Roman"/>
          <w:kern w:val="0"/>
          <w14:ligatures w14:val="none"/>
        </w:rPr>
        <w:t>Approval workflow by Risk, Quants, FO, and Model Risk.</w:t>
      </w:r>
    </w:p>
    <w:p w14:paraId="71C10CFD" w14:textId="77777777" w:rsidR="00296FF4" w:rsidRPr="00296FF4" w:rsidRDefault="00296FF4" w:rsidP="00296FF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6FF4">
        <w:rPr>
          <w:rFonts w:ascii="Times New Roman" w:eastAsia="Times New Roman" w:hAnsi="Times New Roman" w:cs="Times New Roman"/>
          <w:kern w:val="0"/>
          <w14:ligatures w14:val="none"/>
        </w:rPr>
        <w:t>Exception management.</w:t>
      </w:r>
    </w:p>
    <w:p w14:paraId="161C388E" w14:textId="77777777" w:rsidR="00296FF4" w:rsidRPr="00296FF4" w:rsidRDefault="00296FF4" w:rsidP="00296FF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6FF4">
        <w:rPr>
          <w:rFonts w:ascii="Times New Roman" w:eastAsia="Times New Roman" w:hAnsi="Times New Roman" w:cs="Times New Roman"/>
          <w:kern w:val="0"/>
          <w14:ligatures w14:val="none"/>
        </w:rPr>
        <w:t>Evidence repository.</w:t>
      </w:r>
    </w:p>
    <w:p w14:paraId="53B24FC4" w14:textId="77777777" w:rsidR="00296FF4" w:rsidRPr="00296FF4" w:rsidRDefault="00296FF4" w:rsidP="00296F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6F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Examples:</w:t>
      </w:r>
    </w:p>
    <w:p w14:paraId="7AAAE42C" w14:textId="77777777" w:rsidR="00296FF4" w:rsidRPr="00296FF4" w:rsidRDefault="00296FF4" w:rsidP="00296FF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6FF4">
        <w:rPr>
          <w:rFonts w:ascii="Times New Roman" w:eastAsia="Times New Roman" w:hAnsi="Times New Roman" w:cs="Times New Roman"/>
          <w:kern w:val="0"/>
          <w14:ligatures w14:val="none"/>
        </w:rPr>
        <w:t>SABR parameters should be supported by calibration market data, not just parameter time series.</w:t>
      </w:r>
    </w:p>
    <w:p w14:paraId="09006140" w14:textId="77777777" w:rsidR="00296FF4" w:rsidRPr="00296FF4" w:rsidRDefault="00296FF4" w:rsidP="00296FF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6FF4">
        <w:rPr>
          <w:rFonts w:ascii="Times New Roman" w:eastAsia="Times New Roman" w:hAnsi="Times New Roman" w:cs="Times New Roman"/>
          <w:kern w:val="0"/>
          <w14:ligatures w14:val="none"/>
        </w:rPr>
        <w:t>XCCY basis should be decomposable, not hidden inside all-in forward rates.</w:t>
      </w:r>
    </w:p>
    <w:p w14:paraId="6E9F9210" w14:textId="77777777" w:rsidR="00296FF4" w:rsidRPr="00296FF4" w:rsidRDefault="00296FF4" w:rsidP="00296FF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6FF4">
        <w:rPr>
          <w:rFonts w:ascii="Times New Roman" w:eastAsia="Times New Roman" w:hAnsi="Times New Roman" w:cs="Times New Roman"/>
          <w:kern w:val="0"/>
          <w14:ligatures w14:val="none"/>
        </w:rPr>
        <w:t>Credit spread curves should capture name/sector/rating/idiosyncratic risk where required.</w:t>
      </w:r>
    </w:p>
    <w:p w14:paraId="7AB36A64" w14:textId="77777777" w:rsidR="00296FF4" w:rsidRPr="00296FF4" w:rsidRDefault="000477A6" w:rsidP="00296FF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F5CBFBB">
          <v:rect id="_x0000_i1029" style="width:0;height:1.5pt" o:hralign="center" o:hrstd="t" o:hr="t" fillcolor="#a0a0a0" stroked="f"/>
        </w:pict>
      </w:r>
    </w:p>
    <w:p w14:paraId="500584D3" w14:textId="77777777" w:rsidR="00296FF4" w:rsidRPr="00296FF4" w:rsidRDefault="00296FF4" w:rsidP="00296F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96FF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 Modellable vs non-modellable classification</w:t>
      </w:r>
    </w:p>
    <w:p w14:paraId="7EC56E49" w14:textId="77777777" w:rsidR="00296FF4" w:rsidRPr="00296FF4" w:rsidRDefault="00296FF4" w:rsidP="00296F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6FF4">
        <w:rPr>
          <w:rFonts w:ascii="Times New Roman" w:eastAsia="Times New Roman" w:hAnsi="Times New Roman" w:cs="Times New Roman"/>
          <w:kern w:val="0"/>
          <w14:ligatures w14:val="none"/>
        </w:rPr>
        <w:t>Tech must store and expose the official classification of every risk factor.</w:t>
      </w:r>
    </w:p>
    <w:p w14:paraId="7724EC57" w14:textId="77777777" w:rsidR="00296FF4" w:rsidRPr="00296FF4" w:rsidRDefault="00296FF4" w:rsidP="00296F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6F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Requirements:</w:t>
      </w:r>
    </w:p>
    <w:p w14:paraId="5E8BAF54" w14:textId="77777777" w:rsidR="00296FF4" w:rsidRPr="00296FF4" w:rsidRDefault="00296FF4" w:rsidP="00296FF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6FF4">
        <w:rPr>
          <w:rFonts w:ascii="Times New Roman" w:eastAsia="Times New Roman" w:hAnsi="Times New Roman" w:cs="Times New Roman"/>
          <w:kern w:val="0"/>
          <w14:ligatures w14:val="none"/>
        </w:rPr>
        <w:t>Modellable Risk Factor / Non-Modellable Risk Factor flag.</w:t>
      </w:r>
    </w:p>
    <w:p w14:paraId="2FD20EBF" w14:textId="77777777" w:rsidR="00296FF4" w:rsidRDefault="00296FF4" w:rsidP="00296FF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6FF4">
        <w:rPr>
          <w:rFonts w:ascii="Times New Roman" w:eastAsia="Times New Roman" w:hAnsi="Times New Roman" w:cs="Times New Roman"/>
          <w:kern w:val="0"/>
          <w14:ligatures w14:val="none"/>
        </w:rPr>
        <w:t>Type A / Type B NMRF classification if used internally.</w:t>
      </w:r>
    </w:p>
    <w:p w14:paraId="31A0E5DB" w14:textId="7991F77C" w:rsidR="00DE4446" w:rsidRPr="00DE4446" w:rsidRDefault="00DE4446" w:rsidP="00DE444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6FF4">
        <w:rPr>
          <w:rFonts w:ascii="Times New Roman" w:eastAsia="Times New Roman" w:hAnsi="Times New Roman" w:cs="Times New Roman"/>
          <w:kern w:val="0"/>
          <w14:ligatures w14:val="none"/>
        </w:rPr>
        <w:t>Link NMRF back to root cause: no RPOs, poor proxy, bad history, weak mapping, data issue, etc.</w:t>
      </w:r>
    </w:p>
    <w:p w14:paraId="288C7813" w14:textId="77777777" w:rsidR="00296FF4" w:rsidRPr="00296FF4" w:rsidRDefault="00296FF4" w:rsidP="00296FF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6FF4">
        <w:rPr>
          <w:rFonts w:ascii="Times New Roman" w:eastAsia="Times New Roman" w:hAnsi="Times New Roman" w:cs="Times New Roman"/>
          <w:kern w:val="0"/>
          <w14:ligatures w14:val="none"/>
        </w:rPr>
        <w:t>Classification history.</w:t>
      </w:r>
    </w:p>
    <w:p w14:paraId="2FE73DB5" w14:textId="77777777" w:rsidR="00296FF4" w:rsidRPr="00296FF4" w:rsidRDefault="00296FF4" w:rsidP="00296FF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6FF4">
        <w:rPr>
          <w:rFonts w:ascii="Times New Roman" w:eastAsia="Times New Roman" w:hAnsi="Times New Roman" w:cs="Times New Roman"/>
          <w:kern w:val="0"/>
          <w14:ligatures w14:val="none"/>
        </w:rPr>
        <w:t>Effective dates.</w:t>
      </w:r>
    </w:p>
    <w:p w14:paraId="3CD19E08" w14:textId="77777777" w:rsidR="00296FF4" w:rsidRPr="00296FF4" w:rsidRDefault="00296FF4" w:rsidP="00296FF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6FF4">
        <w:rPr>
          <w:rFonts w:ascii="Times New Roman" w:eastAsia="Times New Roman" w:hAnsi="Times New Roman" w:cs="Times New Roman"/>
          <w:kern w:val="0"/>
          <w14:ligatures w14:val="none"/>
        </w:rPr>
        <w:t>Override and approval workflow.</w:t>
      </w:r>
    </w:p>
    <w:p w14:paraId="50A8639C" w14:textId="04FFA65D" w:rsidR="00296FF4" w:rsidRPr="00296FF4" w:rsidRDefault="00296FF4" w:rsidP="00296FF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6FF4">
        <w:rPr>
          <w:rFonts w:ascii="Times New Roman" w:eastAsia="Times New Roman" w:hAnsi="Times New Roman" w:cs="Times New Roman"/>
          <w:kern w:val="0"/>
          <w14:ligatures w14:val="none"/>
        </w:rPr>
        <w:t xml:space="preserve">Drilldown from </w:t>
      </w:r>
      <w:r w:rsidR="00057085">
        <w:rPr>
          <w:rFonts w:ascii="Times New Roman" w:eastAsia="Times New Roman" w:hAnsi="Times New Roman" w:cs="Times New Roman"/>
          <w:kern w:val="0"/>
          <w14:ligatures w14:val="none"/>
        </w:rPr>
        <w:t xml:space="preserve">Desk in </w:t>
      </w:r>
      <w:proofErr w:type="gramStart"/>
      <w:r w:rsidR="00057085">
        <w:rPr>
          <w:rFonts w:ascii="Times New Roman" w:eastAsia="Times New Roman" w:hAnsi="Times New Roman" w:cs="Times New Roman"/>
          <w:kern w:val="0"/>
          <w14:ligatures w14:val="none"/>
        </w:rPr>
        <w:t xml:space="preserve">scope </w:t>
      </w:r>
      <w:r w:rsidRPr="00296FF4">
        <w:rPr>
          <w:rFonts w:ascii="Times New Roman" w:eastAsia="Times New Roman" w:hAnsi="Times New Roman" w:cs="Times New Roman"/>
          <w:kern w:val="0"/>
          <w14:ligatures w14:val="none"/>
        </w:rPr>
        <w:t xml:space="preserve"> to</w:t>
      </w:r>
      <w:proofErr w:type="gramEnd"/>
      <w:r w:rsidRPr="00296FF4">
        <w:rPr>
          <w:rFonts w:ascii="Times New Roman" w:eastAsia="Times New Roman" w:hAnsi="Times New Roman" w:cs="Times New Roman"/>
          <w:kern w:val="0"/>
          <w14:ligatures w14:val="none"/>
        </w:rPr>
        <w:t xml:space="preserve"> RF classification reason.</w:t>
      </w:r>
    </w:p>
    <w:p w14:paraId="6702352E" w14:textId="77777777" w:rsidR="00296FF4" w:rsidRPr="00296FF4" w:rsidRDefault="00296FF4" w:rsidP="00296F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6F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it matters:</w:t>
      </w:r>
      <w:r w:rsidRPr="00296FF4">
        <w:rPr>
          <w:rFonts w:ascii="Times New Roman" w:eastAsia="Times New Roman" w:hAnsi="Times New Roman" w:cs="Times New Roman"/>
          <w:kern w:val="0"/>
          <w14:ligatures w14:val="none"/>
        </w:rPr>
        <w:t xml:space="preserve"> classification directly drives whether risk goes into ES/IMCC or SES/NMRF capital.</w:t>
      </w:r>
    </w:p>
    <w:p w14:paraId="5ABF19EC" w14:textId="77777777" w:rsidR="00296FF4" w:rsidRPr="00296FF4" w:rsidRDefault="000477A6" w:rsidP="00296FF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4345A4D">
          <v:rect id="_x0000_i1030" style="width:0;height:1.5pt" o:hralign="center" o:hrstd="t" o:hr="t" fillcolor="#a0a0a0" stroked="f"/>
        </w:pict>
      </w:r>
    </w:p>
    <w:p w14:paraId="7052685F" w14:textId="77777777" w:rsidR="00296FF4" w:rsidRPr="00296FF4" w:rsidRDefault="00296FF4" w:rsidP="00296F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96FF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 Expected Shortfall calculation engine</w:t>
      </w:r>
    </w:p>
    <w:p w14:paraId="247AE519" w14:textId="77777777" w:rsidR="00296FF4" w:rsidRPr="00296FF4" w:rsidRDefault="00296FF4" w:rsidP="00296F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6FF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IMA requires ES capability, not just </w:t>
      </w:r>
      <w:proofErr w:type="spellStart"/>
      <w:r w:rsidRPr="00296FF4">
        <w:rPr>
          <w:rFonts w:ascii="Times New Roman" w:eastAsia="Times New Roman" w:hAnsi="Times New Roman" w:cs="Times New Roman"/>
          <w:kern w:val="0"/>
          <w14:ligatures w14:val="none"/>
        </w:rPr>
        <w:t>VaR.</w:t>
      </w:r>
      <w:proofErr w:type="spellEnd"/>
    </w:p>
    <w:p w14:paraId="19B3A8CE" w14:textId="77777777" w:rsidR="00296FF4" w:rsidRPr="00296FF4" w:rsidRDefault="00296FF4" w:rsidP="00296F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6F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Requirements:</w:t>
      </w:r>
    </w:p>
    <w:p w14:paraId="1C5FAD92" w14:textId="77777777" w:rsidR="00296FF4" w:rsidRPr="00296FF4" w:rsidRDefault="00296FF4" w:rsidP="00296FF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6FF4">
        <w:rPr>
          <w:rFonts w:ascii="Times New Roman" w:eastAsia="Times New Roman" w:hAnsi="Times New Roman" w:cs="Times New Roman"/>
          <w:kern w:val="0"/>
          <w14:ligatures w14:val="none"/>
        </w:rPr>
        <w:t>Daily ES calculation.</w:t>
      </w:r>
    </w:p>
    <w:p w14:paraId="1D927F80" w14:textId="77777777" w:rsidR="00296FF4" w:rsidRPr="00296FF4" w:rsidRDefault="00296FF4" w:rsidP="00296FF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6FF4">
        <w:rPr>
          <w:rFonts w:ascii="Times New Roman" w:eastAsia="Times New Roman" w:hAnsi="Times New Roman" w:cs="Times New Roman"/>
          <w:kern w:val="0"/>
          <w14:ligatures w14:val="none"/>
        </w:rPr>
        <w:t>Full risk factor set ES.</w:t>
      </w:r>
    </w:p>
    <w:p w14:paraId="18321397" w14:textId="77777777" w:rsidR="00296FF4" w:rsidRPr="00296FF4" w:rsidRDefault="00296FF4" w:rsidP="00296FF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6FF4">
        <w:rPr>
          <w:rFonts w:ascii="Times New Roman" w:eastAsia="Times New Roman" w:hAnsi="Times New Roman" w:cs="Times New Roman"/>
          <w:kern w:val="0"/>
          <w14:ligatures w14:val="none"/>
        </w:rPr>
        <w:t>Reduced risk factor set ES.</w:t>
      </w:r>
    </w:p>
    <w:p w14:paraId="54264346" w14:textId="77777777" w:rsidR="00296FF4" w:rsidRPr="00296FF4" w:rsidRDefault="00296FF4" w:rsidP="00296FF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6FF4">
        <w:rPr>
          <w:rFonts w:ascii="Times New Roman" w:eastAsia="Times New Roman" w:hAnsi="Times New Roman" w:cs="Times New Roman"/>
          <w:kern w:val="0"/>
          <w14:ligatures w14:val="none"/>
        </w:rPr>
        <w:t>Current period ES.</w:t>
      </w:r>
    </w:p>
    <w:p w14:paraId="5AEFAFD7" w14:textId="77777777" w:rsidR="00296FF4" w:rsidRPr="00296FF4" w:rsidRDefault="00296FF4" w:rsidP="00296FF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6FF4">
        <w:rPr>
          <w:rFonts w:ascii="Times New Roman" w:eastAsia="Times New Roman" w:hAnsi="Times New Roman" w:cs="Times New Roman"/>
          <w:kern w:val="0"/>
          <w14:ligatures w14:val="none"/>
        </w:rPr>
        <w:t>Stressed period ES.</w:t>
      </w:r>
    </w:p>
    <w:p w14:paraId="3839BC06" w14:textId="77777777" w:rsidR="00296FF4" w:rsidRPr="00296FF4" w:rsidRDefault="00296FF4" w:rsidP="00296FF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6FF4">
        <w:rPr>
          <w:rFonts w:ascii="Times New Roman" w:eastAsia="Times New Roman" w:hAnsi="Times New Roman" w:cs="Times New Roman"/>
          <w:kern w:val="0"/>
          <w14:ligatures w14:val="none"/>
        </w:rPr>
        <w:t>Liquidity horizon scaling.</w:t>
      </w:r>
    </w:p>
    <w:p w14:paraId="19EF01C2" w14:textId="77777777" w:rsidR="00296FF4" w:rsidRPr="00296FF4" w:rsidRDefault="00296FF4" w:rsidP="00296FF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6FF4">
        <w:rPr>
          <w:rFonts w:ascii="Times New Roman" w:eastAsia="Times New Roman" w:hAnsi="Times New Roman" w:cs="Times New Roman"/>
          <w:kern w:val="0"/>
          <w14:ligatures w14:val="none"/>
        </w:rPr>
        <w:t>ES by desk, risk class, portfolio, and legal entity.</w:t>
      </w:r>
    </w:p>
    <w:p w14:paraId="01231F36" w14:textId="77777777" w:rsidR="00296FF4" w:rsidRPr="00296FF4" w:rsidRDefault="00296FF4" w:rsidP="00296FF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6FF4">
        <w:rPr>
          <w:rFonts w:ascii="Times New Roman" w:eastAsia="Times New Roman" w:hAnsi="Times New Roman" w:cs="Times New Roman"/>
          <w:kern w:val="0"/>
          <w14:ligatures w14:val="none"/>
        </w:rPr>
        <w:t>Support up to the required liquidity horizon buckets.</w:t>
      </w:r>
    </w:p>
    <w:p w14:paraId="3B7102C8" w14:textId="77777777" w:rsidR="00296FF4" w:rsidRPr="00296FF4" w:rsidRDefault="00296FF4" w:rsidP="00296FF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6FF4">
        <w:rPr>
          <w:rFonts w:ascii="Times New Roman" w:eastAsia="Times New Roman" w:hAnsi="Times New Roman" w:cs="Times New Roman"/>
          <w:kern w:val="0"/>
          <w14:ligatures w14:val="none"/>
        </w:rPr>
        <w:t>Ability to calculate ES only for modellable risk factors.</w:t>
      </w:r>
    </w:p>
    <w:p w14:paraId="798473EB" w14:textId="51E04A39" w:rsidR="00296FF4" w:rsidRPr="00296FF4" w:rsidRDefault="00296FF4" w:rsidP="00296F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6FF4">
        <w:rPr>
          <w:rFonts w:ascii="Times New Roman" w:eastAsia="Times New Roman" w:hAnsi="Times New Roman" w:cs="Times New Roman"/>
          <w:kern w:val="0"/>
          <w14:ligatures w14:val="none"/>
        </w:rPr>
        <w:t xml:space="preserve">Basel describes IMA as relying on Expected Shortfall models, with separate requirements for non-modellable risk factors. </w:t>
      </w:r>
    </w:p>
    <w:p w14:paraId="695FEBB0" w14:textId="77777777" w:rsidR="00296FF4" w:rsidRPr="00296FF4" w:rsidRDefault="000477A6" w:rsidP="00296FF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7790EFE">
          <v:rect id="_x0000_i1031" style="width:0;height:1.5pt" o:hralign="center" o:hrstd="t" o:hr="t" fillcolor="#a0a0a0" stroked="f"/>
        </w:pict>
      </w:r>
    </w:p>
    <w:p w14:paraId="1FE1BFBE" w14:textId="77777777" w:rsidR="00296FF4" w:rsidRPr="00296FF4" w:rsidRDefault="00296FF4" w:rsidP="00296F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96FF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8. SES / NMRF capital calculation</w:t>
      </w:r>
    </w:p>
    <w:p w14:paraId="328598B7" w14:textId="77777777" w:rsidR="00296FF4" w:rsidRPr="00296FF4" w:rsidRDefault="00296FF4" w:rsidP="00296F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6FF4">
        <w:rPr>
          <w:rFonts w:ascii="Times New Roman" w:eastAsia="Times New Roman" w:hAnsi="Times New Roman" w:cs="Times New Roman"/>
          <w:kern w:val="0"/>
          <w14:ligatures w14:val="none"/>
        </w:rPr>
        <w:t>Tech needs a separate capital calculation path for non-modellable risk factors.</w:t>
      </w:r>
    </w:p>
    <w:p w14:paraId="4A408344" w14:textId="77777777" w:rsidR="00296FF4" w:rsidRPr="00296FF4" w:rsidRDefault="00296FF4" w:rsidP="00296F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6F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Requirements:</w:t>
      </w:r>
    </w:p>
    <w:p w14:paraId="27F898ED" w14:textId="77777777" w:rsidR="00296FF4" w:rsidRPr="00296FF4" w:rsidRDefault="00296FF4" w:rsidP="00296FF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6FF4">
        <w:rPr>
          <w:rFonts w:ascii="Times New Roman" w:eastAsia="Times New Roman" w:hAnsi="Times New Roman" w:cs="Times New Roman"/>
          <w:kern w:val="0"/>
          <w14:ligatures w14:val="none"/>
        </w:rPr>
        <w:t>Identify NMRFs from RFET results.</w:t>
      </w:r>
    </w:p>
    <w:p w14:paraId="070F920B" w14:textId="77777777" w:rsidR="00296FF4" w:rsidRPr="00296FF4" w:rsidRDefault="00296FF4" w:rsidP="00296FF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6FF4">
        <w:rPr>
          <w:rFonts w:ascii="Times New Roman" w:eastAsia="Times New Roman" w:hAnsi="Times New Roman" w:cs="Times New Roman"/>
          <w:kern w:val="0"/>
          <w14:ligatures w14:val="none"/>
        </w:rPr>
        <w:t>Generate stress scenarios for NMRFs.</w:t>
      </w:r>
    </w:p>
    <w:p w14:paraId="7B627095" w14:textId="77777777" w:rsidR="00296FF4" w:rsidRPr="00296FF4" w:rsidRDefault="00296FF4" w:rsidP="00296FF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6FF4">
        <w:rPr>
          <w:rFonts w:ascii="Times New Roman" w:eastAsia="Times New Roman" w:hAnsi="Times New Roman" w:cs="Times New Roman"/>
          <w:kern w:val="0"/>
          <w14:ligatures w14:val="none"/>
        </w:rPr>
        <w:t>Calculate stressed loss per NMRF or NMRF bucket.</w:t>
      </w:r>
    </w:p>
    <w:p w14:paraId="0A85F400" w14:textId="77777777" w:rsidR="00296FF4" w:rsidRPr="00296FF4" w:rsidRDefault="00296FF4" w:rsidP="00296FF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6FF4">
        <w:rPr>
          <w:rFonts w:ascii="Times New Roman" w:eastAsia="Times New Roman" w:hAnsi="Times New Roman" w:cs="Times New Roman"/>
          <w:kern w:val="0"/>
          <w14:ligatures w14:val="none"/>
        </w:rPr>
        <w:t>Aggregate SES capital.</w:t>
      </w:r>
    </w:p>
    <w:p w14:paraId="06B86852" w14:textId="77777777" w:rsidR="00296FF4" w:rsidRPr="00296FF4" w:rsidRDefault="00296FF4" w:rsidP="00296FF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6FF4">
        <w:rPr>
          <w:rFonts w:ascii="Times New Roman" w:eastAsia="Times New Roman" w:hAnsi="Times New Roman" w:cs="Times New Roman"/>
          <w:kern w:val="0"/>
          <w14:ligatures w14:val="none"/>
        </w:rPr>
        <w:t>Provide capital explainability.</w:t>
      </w:r>
    </w:p>
    <w:p w14:paraId="6B86D6F2" w14:textId="77777777" w:rsidR="00296FF4" w:rsidRPr="00296FF4" w:rsidRDefault="00296FF4" w:rsidP="00296F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6F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it matters:</w:t>
      </w:r>
      <w:r w:rsidRPr="00296FF4">
        <w:rPr>
          <w:rFonts w:ascii="Times New Roman" w:eastAsia="Times New Roman" w:hAnsi="Times New Roman" w:cs="Times New Roman"/>
          <w:kern w:val="0"/>
          <w14:ligatures w14:val="none"/>
        </w:rPr>
        <w:t xml:space="preserve"> NMRF capital can become punitive and may dominate the IMA capital benefit.</w:t>
      </w:r>
    </w:p>
    <w:p w14:paraId="2EF0F4DB" w14:textId="77777777" w:rsidR="00296FF4" w:rsidRPr="00296FF4" w:rsidRDefault="000477A6" w:rsidP="00296FF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A410A00">
          <v:rect id="_x0000_i1032" style="width:0;height:1.5pt" o:hralign="center" o:hrstd="t" o:hr="t" fillcolor="#a0a0a0" stroked="f"/>
        </w:pict>
      </w:r>
    </w:p>
    <w:p w14:paraId="6CEE419C" w14:textId="77777777" w:rsidR="00296FF4" w:rsidRPr="00296FF4" w:rsidRDefault="00296FF4" w:rsidP="00296F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96FF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9. </w:t>
      </w:r>
      <w:proofErr w:type="spellStart"/>
      <w:r w:rsidRPr="00296FF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Standardised</w:t>
      </w:r>
      <w:proofErr w:type="spellEnd"/>
      <w:r w:rsidRPr="00296FF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Approach fallback capability</w:t>
      </w:r>
    </w:p>
    <w:p w14:paraId="0B57E587" w14:textId="77777777" w:rsidR="00296FF4" w:rsidRPr="00296FF4" w:rsidRDefault="00296FF4" w:rsidP="00296F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6FF4">
        <w:rPr>
          <w:rFonts w:ascii="Times New Roman" w:eastAsia="Times New Roman" w:hAnsi="Times New Roman" w:cs="Times New Roman"/>
          <w:kern w:val="0"/>
          <w14:ligatures w14:val="none"/>
        </w:rPr>
        <w:t>Tech must maintain SA calculation capability even if desks pursue IMA.</w:t>
      </w:r>
    </w:p>
    <w:p w14:paraId="460D163A" w14:textId="77777777" w:rsidR="00296FF4" w:rsidRPr="00296FF4" w:rsidRDefault="00296FF4" w:rsidP="00296F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6F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Requirements:</w:t>
      </w:r>
    </w:p>
    <w:p w14:paraId="7F1A9305" w14:textId="77777777" w:rsidR="00296FF4" w:rsidRPr="00296FF4" w:rsidRDefault="00296FF4" w:rsidP="00296FF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6FF4">
        <w:rPr>
          <w:rFonts w:ascii="Times New Roman" w:eastAsia="Times New Roman" w:hAnsi="Times New Roman" w:cs="Times New Roman"/>
          <w:kern w:val="0"/>
          <w14:ligatures w14:val="none"/>
        </w:rPr>
        <w:t>SA sensitivities and Greeks.</w:t>
      </w:r>
    </w:p>
    <w:p w14:paraId="398732DC" w14:textId="77777777" w:rsidR="00296FF4" w:rsidRPr="00296FF4" w:rsidRDefault="00296FF4" w:rsidP="00296FF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6FF4">
        <w:rPr>
          <w:rFonts w:ascii="Times New Roman" w:eastAsia="Times New Roman" w:hAnsi="Times New Roman" w:cs="Times New Roman"/>
          <w:kern w:val="0"/>
          <w14:ligatures w14:val="none"/>
        </w:rPr>
        <w:t>SA risk weights and buckets.</w:t>
      </w:r>
    </w:p>
    <w:p w14:paraId="12B6E822" w14:textId="77777777" w:rsidR="00296FF4" w:rsidRPr="00296FF4" w:rsidRDefault="00296FF4" w:rsidP="00296FF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6FF4">
        <w:rPr>
          <w:rFonts w:ascii="Times New Roman" w:eastAsia="Times New Roman" w:hAnsi="Times New Roman" w:cs="Times New Roman"/>
          <w:kern w:val="0"/>
          <w14:ligatures w14:val="none"/>
        </w:rPr>
        <w:t>SA capital calculation.</w:t>
      </w:r>
    </w:p>
    <w:p w14:paraId="0DF41B66" w14:textId="77777777" w:rsidR="00296FF4" w:rsidRPr="00296FF4" w:rsidRDefault="00296FF4" w:rsidP="00296FF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6FF4">
        <w:rPr>
          <w:rFonts w:ascii="Times New Roman" w:eastAsia="Times New Roman" w:hAnsi="Times New Roman" w:cs="Times New Roman"/>
          <w:kern w:val="0"/>
          <w14:ligatures w14:val="none"/>
        </w:rPr>
        <w:t>Desk-level fallback logic.</w:t>
      </w:r>
    </w:p>
    <w:p w14:paraId="68CBD0A0" w14:textId="77777777" w:rsidR="00296FF4" w:rsidRPr="00296FF4" w:rsidRDefault="00296FF4" w:rsidP="00296FF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6FF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Comparison of IMA vs SA capital.</w:t>
      </w:r>
    </w:p>
    <w:p w14:paraId="6E0F6948" w14:textId="77777777" w:rsidR="00296FF4" w:rsidRPr="00296FF4" w:rsidRDefault="00296FF4" w:rsidP="00296FF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6FF4">
        <w:rPr>
          <w:rFonts w:ascii="Times New Roman" w:eastAsia="Times New Roman" w:hAnsi="Times New Roman" w:cs="Times New Roman"/>
          <w:kern w:val="0"/>
          <w14:ligatures w14:val="none"/>
        </w:rPr>
        <w:t>Ability to identify where failing IMA would push a desk back to SA.</w:t>
      </w:r>
    </w:p>
    <w:p w14:paraId="1A87C31F" w14:textId="77777777" w:rsidR="00296FF4" w:rsidRPr="00296FF4" w:rsidRDefault="000477A6" w:rsidP="00296FF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C299924">
          <v:rect id="_x0000_i1033" style="width:0;height:1.5pt" o:hralign="center" o:hrstd="t" o:hr="t" fillcolor="#a0a0a0" stroked="f"/>
        </w:pict>
      </w:r>
    </w:p>
    <w:p w14:paraId="655545B1" w14:textId="77777777" w:rsidR="00296FF4" w:rsidRPr="00296FF4" w:rsidRDefault="00296FF4" w:rsidP="00296F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96FF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10. PLA support</w:t>
      </w:r>
    </w:p>
    <w:p w14:paraId="135F7171" w14:textId="77777777" w:rsidR="00296FF4" w:rsidRPr="00296FF4" w:rsidRDefault="00296FF4" w:rsidP="00296F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6FF4">
        <w:rPr>
          <w:rFonts w:ascii="Times New Roman" w:eastAsia="Times New Roman" w:hAnsi="Times New Roman" w:cs="Times New Roman"/>
          <w:kern w:val="0"/>
          <w14:ligatures w14:val="none"/>
        </w:rPr>
        <w:t>Tech needs to support Profit and Loss Attribution testing.</w:t>
      </w:r>
    </w:p>
    <w:p w14:paraId="4F8FC33B" w14:textId="77777777" w:rsidR="00296FF4" w:rsidRPr="00296FF4" w:rsidRDefault="00296FF4" w:rsidP="00296F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6F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Requirements:</w:t>
      </w:r>
    </w:p>
    <w:p w14:paraId="59419DB3" w14:textId="77777777" w:rsidR="00296FF4" w:rsidRPr="00296FF4" w:rsidRDefault="00296FF4" w:rsidP="00296FF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6FF4">
        <w:rPr>
          <w:rFonts w:ascii="Times New Roman" w:eastAsia="Times New Roman" w:hAnsi="Times New Roman" w:cs="Times New Roman"/>
          <w:kern w:val="0"/>
          <w14:ligatures w14:val="none"/>
        </w:rPr>
        <w:t>Actual P&amp;L capture.</w:t>
      </w:r>
    </w:p>
    <w:p w14:paraId="454BD21D" w14:textId="77777777" w:rsidR="00296FF4" w:rsidRPr="00296FF4" w:rsidRDefault="00296FF4" w:rsidP="00296FF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6FF4">
        <w:rPr>
          <w:rFonts w:ascii="Times New Roman" w:eastAsia="Times New Roman" w:hAnsi="Times New Roman" w:cs="Times New Roman"/>
          <w:kern w:val="0"/>
          <w14:ligatures w14:val="none"/>
        </w:rPr>
        <w:t>Hypothetical P&amp;L calculation.</w:t>
      </w:r>
    </w:p>
    <w:p w14:paraId="08C88691" w14:textId="77777777" w:rsidR="00296FF4" w:rsidRPr="00296FF4" w:rsidRDefault="00296FF4" w:rsidP="00296FF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6FF4">
        <w:rPr>
          <w:rFonts w:ascii="Times New Roman" w:eastAsia="Times New Roman" w:hAnsi="Times New Roman" w:cs="Times New Roman"/>
          <w:kern w:val="0"/>
          <w14:ligatures w14:val="none"/>
        </w:rPr>
        <w:t>Risk-theoretical P&amp;L calculation.</w:t>
      </w:r>
    </w:p>
    <w:p w14:paraId="0FDF2EF6" w14:textId="77777777" w:rsidR="00296FF4" w:rsidRPr="00296FF4" w:rsidRDefault="00296FF4" w:rsidP="00296FF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6FF4">
        <w:rPr>
          <w:rFonts w:ascii="Times New Roman" w:eastAsia="Times New Roman" w:hAnsi="Times New Roman" w:cs="Times New Roman"/>
          <w:kern w:val="0"/>
          <w14:ligatures w14:val="none"/>
        </w:rPr>
        <w:t>Alignment between FO pricing data and Risk data.</w:t>
      </w:r>
    </w:p>
    <w:p w14:paraId="00195562" w14:textId="77777777" w:rsidR="00296FF4" w:rsidRPr="00296FF4" w:rsidRDefault="00296FF4" w:rsidP="00296FF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6FF4">
        <w:rPr>
          <w:rFonts w:ascii="Times New Roman" w:eastAsia="Times New Roman" w:hAnsi="Times New Roman" w:cs="Times New Roman"/>
          <w:kern w:val="0"/>
          <w14:ligatures w14:val="none"/>
        </w:rPr>
        <w:t>Explain P&amp;L differences by risk factor, model, data, carry, missing RF, or valuation adjustment.</w:t>
      </w:r>
    </w:p>
    <w:p w14:paraId="66ED450D" w14:textId="77777777" w:rsidR="00296FF4" w:rsidRPr="00296FF4" w:rsidRDefault="00296FF4" w:rsidP="00296FF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6FF4">
        <w:rPr>
          <w:rFonts w:ascii="Times New Roman" w:eastAsia="Times New Roman" w:hAnsi="Times New Roman" w:cs="Times New Roman"/>
          <w:kern w:val="0"/>
          <w14:ligatures w14:val="none"/>
        </w:rPr>
        <w:t>Desk-level PLA reporting.</w:t>
      </w:r>
    </w:p>
    <w:p w14:paraId="377EE342" w14:textId="77777777" w:rsidR="00296FF4" w:rsidRPr="00296FF4" w:rsidRDefault="00296FF4" w:rsidP="00296FF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6FF4">
        <w:rPr>
          <w:rFonts w:ascii="Times New Roman" w:eastAsia="Times New Roman" w:hAnsi="Times New Roman" w:cs="Times New Roman"/>
          <w:kern w:val="0"/>
          <w14:ligatures w14:val="none"/>
        </w:rPr>
        <w:t>Exception workflow and remediation tracking.</w:t>
      </w:r>
    </w:p>
    <w:p w14:paraId="19E132CC" w14:textId="77777777" w:rsidR="00296FF4" w:rsidRPr="00296FF4" w:rsidRDefault="00296FF4" w:rsidP="00296F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6F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Key point:</w:t>
      </w:r>
      <w:r w:rsidRPr="00296FF4">
        <w:rPr>
          <w:rFonts w:ascii="Times New Roman" w:eastAsia="Times New Roman" w:hAnsi="Times New Roman" w:cs="Times New Roman"/>
          <w:kern w:val="0"/>
          <w14:ligatures w14:val="none"/>
        </w:rPr>
        <w:t xml:space="preserve"> PLA failure can disqualify desks even if ES and RFET are working.</w:t>
      </w:r>
    </w:p>
    <w:p w14:paraId="6F666B16" w14:textId="77777777" w:rsidR="00296FF4" w:rsidRPr="00296FF4" w:rsidRDefault="000477A6" w:rsidP="00296FF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2E4A636">
          <v:rect id="_x0000_i1034" style="width:0;height:1.5pt" o:hralign="center" o:hrstd="t" o:hr="t" fillcolor="#a0a0a0" stroked="f"/>
        </w:pict>
      </w:r>
    </w:p>
    <w:p w14:paraId="472726EC" w14:textId="77777777" w:rsidR="00296FF4" w:rsidRPr="00296FF4" w:rsidRDefault="00296FF4" w:rsidP="00296F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96FF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11. </w:t>
      </w:r>
      <w:proofErr w:type="spellStart"/>
      <w:r w:rsidRPr="00296FF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Backtesting</w:t>
      </w:r>
      <w:proofErr w:type="spellEnd"/>
      <w:r w:rsidRPr="00296FF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support</w:t>
      </w:r>
    </w:p>
    <w:p w14:paraId="440D165B" w14:textId="77777777" w:rsidR="00296FF4" w:rsidRPr="00296FF4" w:rsidRDefault="00296FF4" w:rsidP="00296F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6FF4">
        <w:rPr>
          <w:rFonts w:ascii="Times New Roman" w:eastAsia="Times New Roman" w:hAnsi="Times New Roman" w:cs="Times New Roman"/>
          <w:kern w:val="0"/>
          <w14:ligatures w14:val="none"/>
        </w:rPr>
        <w:t xml:space="preserve">Tech must support desk-level and firm-level </w:t>
      </w:r>
      <w:proofErr w:type="spellStart"/>
      <w:r w:rsidRPr="00296FF4">
        <w:rPr>
          <w:rFonts w:ascii="Times New Roman" w:eastAsia="Times New Roman" w:hAnsi="Times New Roman" w:cs="Times New Roman"/>
          <w:kern w:val="0"/>
          <w14:ligatures w14:val="none"/>
        </w:rPr>
        <w:t>backtesting</w:t>
      </w:r>
      <w:proofErr w:type="spellEnd"/>
      <w:r w:rsidRPr="00296FF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51F8D1B" w14:textId="77777777" w:rsidR="00296FF4" w:rsidRPr="00296FF4" w:rsidRDefault="00296FF4" w:rsidP="00296F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6F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Requirements:</w:t>
      </w:r>
    </w:p>
    <w:p w14:paraId="66751BCC" w14:textId="77777777" w:rsidR="00296FF4" w:rsidRPr="00296FF4" w:rsidRDefault="00296FF4" w:rsidP="00296FF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6FF4">
        <w:rPr>
          <w:rFonts w:ascii="Times New Roman" w:eastAsia="Times New Roman" w:hAnsi="Times New Roman" w:cs="Times New Roman"/>
          <w:kern w:val="0"/>
          <w14:ligatures w14:val="none"/>
        </w:rPr>
        <w:t xml:space="preserve">Daily </w:t>
      </w:r>
      <w:proofErr w:type="spellStart"/>
      <w:r w:rsidRPr="00296FF4">
        <w:rPr>
          <w:rFonts w:ascii="Times New Roman" w:eastAsia="Times New Roman" w:hAnsi="Times New Roman" w:cs="Times New Roman"/>
          <w:kern w:val="0"/>
          <w14:ligatures w14:val="none"/>
        </w:rPr>
        <w:t>VaR</w:t>
      </w:r>
      <w:proofErr w:type="spellEnd"/>
      <w:r w:rsidRPr="00296FF4">
        <w:rPr>
          <w:rFonts w:ascii="Times New Roman" w:eastAsia="Times New Roman" w:hAnsi="Times New Roman" w:cs="Times New Roman"/>
          <w:kern w:val="0"/>
          <w14:ligatures w14:val="none"/>
        </w:rPr>
        <w:t xml:space="preserve">/ES-related </w:t>
      </w:r>
      <w:proofErr w:type="spellStart"/>
      <w:r w:rsidRPr="00296FF4">
        <w:rPr>
          <w:rFonts w:ascii="Times New Roman" w:eastAsia="Times New Roman" w:hAnsi="Times New Roman" w:cs="Times New Roman"/>
          <w:kern w:val="0"/>
          <w14:ligatures w14:val="none"/>
        </w:rPr>
        <w:t>backtesting</w:t>
      </w:r>
      <w:proofErr w:type="spellEnd"/>
      <w:r w:rsidRPr="00296FF4">
        <w:rPr>
          <w:rFonts w:ascii="Times New Roman" w:eastAsia="Times New Roman" w:hAnsi="Times New Roman" w:cs="Times New Roman"/>
          <w:kern w:val="0"/>
          <w14:ligatures w14:val="none"/>
        </w:rPr>
        <w:t xml:space="preserve"> outputs.</w:t>
      </w:r>
    </w:p>
    <w:p w14:paraId="35B85CE4" w14:textId="77777777" w:rsidR="00296FF4" w:rsidRPr="00296FF4" w:rsidRDefault="00296FF4" w:rsidP="00296FF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6FF4">
        <w:rPr>
          <w:rFonts w:ascii="Times New Roman" w:eastAsia="Times New Roman" w:hAnsi="Times New Roman" w:cs="Times New Roman"/>
          <w:kern w:val="0"/>
          <w14:ligatures w14:val="none"/>
        </w:rPr>
        <w:t>Compare model P&amp;L vs realized P&amp;L.</w:t>
      </w:r>
    </w:p>
    <w:p w14:paraId="7CD0735C" w14:textId="77777777" w:rsidR="00296FF4" w:rsidRPr="00296FF4" w:rsidRDefault="00296FF4" w:rsidP="00296FF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6FF4">
        <w:rPr>
          <w:rFonts w:ascii="Times New Roman" w:eastAsia="Times New Roman" w:hAnsi="Times New Roman" w:cs="Times New Roman"/>
          <w:kern w:val="0"/>
          <w14:ligatures w14:val="none"/>
        </w:rPr>
        <w:t>Exception identification.</w:t>
      </w:r>
    </w:p>
    <w:p w14:paraId="63E69D23" w14:textId="77777777" w:rsidR="00296FF4" w:rsidRPr="00296FF4" w:rsidRDefault="00296FF4" w:rsidP="00296FF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6FF4">
        <w:rPr>
          <w:rFonts w:ascii="Times New Roman" w:eastAsia="Times New Roman" w:hAnsi="Times New Roman" w:cs="Times New Roman"/>
          <w:kern w:val="0"/>
          <w14:ligatures w14:val="none"/>
        </w:rPr>
        <w:t>Exception attribution.</w:t>
      </w:r>
    </w:p>
    <w:p w14:paraId="2127265A" w14:textId="77777777" w:rsidR="00296FF4" w:rsidRPr="00296FF4" w:rsidRDefault="00296FF4" w:rsidP="00296FF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6FF4">
        <w:rPr>
          <w:rFonts w:ascii="Times New Roman" w:eastAsia="Times New Roman" w:hAnsi="Times New Roman" w:cs="Times New Roman"/>
          <w:kern w:val="0"/>
          <w14:ligatures w14:val="none"/>
        </w:rPr>
        <w:t>Root-cause workflow.</w:t>
      </w:r>
    </w:p>
    <w:p w14:paraId="75F70DFA" w14:textId="77777777" w:rsidR="00296FF4" w:rsidRPr="00296FF4" w:rsidRDefault="00296FF4" w:rsidP="00296FF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6FF4">
        <w:rPr>
          <w:rFonts w:ascii="Times New Roman" w:eastAsia="Times New Roman" w:hAnsi="Times New Roman" w:cs="Times New Roman"/>
          <w:kern w:val="0"/>
          <w14:ligatures w14:val="none"/>
        </w:rPr>
        <w:t xml:space="preserve">Historical </w:t>
      </w:r>
      <w:proofErr w:type="spellStart"/>
      <w:r w:rsidRPr="00296FF4">
        <w:rPr>
          <w:rFonts w:ascii="Times New Roman" w:eastAsia="Times New Roman" w:hAnsi="Times New Roman" w:cs="Times New Roman"/>
          <w:kern w:val="0"/>
          <w14:ligatures w14:val="none"/>
        </w:rPr>
        <w:t>backtesting</w:t>
      </w:r>
      <w:proofErr w:type="spellEnd"/>
      <w:r w:rsidRPr="00296FF4">
        <w:rPr>
          <w:rFonts w:ascii="Times New Roman" w:eastAsia="Times New Roman" w:hAnsi="Times New Roman" w:cs="Times New Roman"/>
          <w:kern w:val="0"/>
          <w14:ligatures w14:val="none"/>
        </w:rPr>
        <w:t xml:space="preserve"> evidence.</w:t>
      </w:r>
    </w:p>
    <w:p w14:paraId="21E0345F" w14:textId="77777777" w:rsidR="00296FF4" w:rsidRPr="00296FF4" w:rsidRDefault="00296FF4" w:rsidP="00296FF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6FF4">
        <w:rPr>
          <w:rFonts w:ascii="Times New Roman" w:eastAsia="Times New Roman" w:hAnsi="Times New Roman" w:cs="Times New Roman"/>
          <w:kern w:val="0"/>
          <w14:ligatures w14:val="none"/>
        </w:rPr>
        <w:t>Early-warning dashboards.</w:t>
      </w:r>
    </w:p>
    <w:p w14:paraId="3145E06D" w14:textId="7E867261" w:rsidR="00296FF4" w:rsidRPr="00296FF4" w:rsidRDefault="00296FF4" w:rsidP="00296F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96FF4">
        <w:rPr>
          <w:rFonts w:ascii="Times New Roman" w:eastAsia="Times New Roman" w:hAnsi="Times New Roman" w:cs="Times New Roman"/>
          <w:kern w:val="0"/>
          <w14:ligatures w14:val="none"/>
        </w:rPr>
        <w:t>Backtesting</w:t>
      </w:r>
      <w:proofErr w:type="spellEnd"/>
      <w:r w:rsidRPr="00296FF4">
        <w:rPr>
          <w:rFonts w:ascii="Times New Roman" w:eastAsia="Times New Roman" w:hAnsi="Times New Roman" w:cs="Times New Roman"/>
          <w:kern w:val="0"/>
          <w14:ligatures w14:val="none"/>
        </w:rPr>
        <w:t xml:space="preserve"> remains a core supervisory tool for validating whether internal market risk models are performing appropriately.</w:t>
      </w:r>
    </w:p>
    <w:p w14:paraId="60BF8D1D" w14:textId="77777777" w:rsidR="00296FF4" w:rsidRPr="00296FF4" w:rsidRDefault="000477A6" w:rsidP="00296FF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8C93EEF">
          <v:rect id="_x0000_i1035" style="width:0;height:1.5pt" o:hralign="center" o:hrstd="t" o:hr="t" fillcolor="#a0a0a0" stroked="f"/>
        </w:pict>
      </w:r>
    </w:p>
    <w:p w14:paraId="4BBCA58E" w14:textId="22B045AE" w:rsidR="00296FF4" w:rsidRPr="00296FF4" w:rsidRDefault="00296FF4" w:rsidP="00296FF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F2803BE" w14:textId="0CCEE55C" w:rsidR="00296FF4" w:rsidRPr="00296FF4" w:rsidRDefault="00296FF4" w:rsidP="00296F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96FF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</w:t>
      </w:r>
      <w:r w:rsidR="00A9137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</w:t>
      </w:r>
      <w:r w:rsidRPr="00296FF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. Explainability and dashboards</w:t>
      </w:r>
    </w:p>
    <w:p w14:paraId="5D244A9E" w14:textId="77777777" w:rsidR="00296FF4" w:rsidRPr="00296FF4" w:rsidRDefault="00296FF4" w:rsidP="00296F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6FF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Tech needs dashboards that senior management, Risk, Quants, and regulators can understand.</w:t>
      </w:r>
    </w:p>
    <w:p w14:paraId="544F6AE3" w14:textId="77777777" w:rsidR="00296FF4" w:rsidRPr="00296FF4" w:rsidRDefault="00296FF4" w:rsidP="00296F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6F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Requirements:</w:t>
      </w:r>
    </w:p>
    <w:p w14:paraId="05C457FE" w14:textId="77777777" w:rsidR="00296FF4" w:rsidRPr="00296FF4" w:rsidRDefault="00296FF4" w:rsidP="00296FF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6FF4">
        <w:rPr>
          <w:rFonts w:ascii="Times New Roman" w:eastAsia="Times New Roman" w:hAnsi="Times New Roman" w:cs="Times New Roman"/>
          <w:kern w:val="0"/>
          <w14:ligatures w14:val="none"/>
        </w:rPr>
        <w:t>IMA readiness dashboard.</w:t>
      </w:r>
    </w:p>
    <w:p w14:paraId="5870505D" w14:textId="77777777" w:rsidR="00296FF4" w:rsidRPr="00296FF4" w:rsidRDefault="00296FF4" w:rsidP="00296FF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6FF4">
        <w:rPr>
          <w:rFonts w:ascii="Times New Roman" w:eastAsia="Times New Roman" w:hAnsi="Times New Roman" w:cs="Times New Roman"/>
          <w:kern w:val="0"/>
          <w14:ligatures w14:val="none"/>
        </w:rPr>
        <w:t>RFET pass/fail heatmap.</w:t>
      </w:r>
    </w:p>
    <w:p w14:paraId="67C7D640" w14:textId="77777777" w:rsidR="00296FF4" w:rsidRPr="00296FF4" w:rsidRDefault="00296FF4" w:rsidP="00296FF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6FF4">
        <w:rPr>
          <w:rFonts w:ascii="Times New Roman" w:eastAsia="Times New Roman" w:hAnsi="Times New Roman" w:cs="Times New Roman"/>
          <w:kern w:val="0"/>
          <w14:ligatures w14:val="none"/>
        </w:rPr>
        <w:t>RPO coverage dashboard.</w:t>
      </w:r>
    </w:p>
    <w:p w14:paraId="7873469D" w14:textId="77777777" w:rsidR="00296FF4" w:rsidRPr="00296FF4" w:rsidRDefault="00296FF4" w:rsidP="00296FF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6FF4">
        <w:rPr>
          <w:rFonts w:ascii="Times New Roman" w:eastAsia="Times New Roman" w:hAnsi="Times New Roman" w:cs="Times New Roman"/>
          <w:kern w:val="0"/>
          <w14:ligatures w14:val="none"/>
        </w:rPr>
        <w:t>MRF vs NMRF capital impact.</w:t>
      </w:r>
    </w:p>
    <w:p w14:paraId="7968EE6A" w14:textId="77777777" w:rsidR="00296FF4" w:rsidRPr="00296FF4" w:rsidRDefault="00296FF4" w:rsidP="00296FF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6FF4">
        <w:rPr>
          <w:rFonts w:ascii="Times New Roman" w:eastAsia="Times New Roman" w:hAnsi="Times New Roman" w:cs="Times New Roman"/>
          <w:kern w:val="0"/>
          <w14:ligatures w14:val="none"/>
        </w:rPr>
        <w:t>PLA exception dashboard.</w:t>
      </w:r>
    </w:p>
    <w:p w14:paraId="498F629A" w14:textId="77777777" w:rsidR="00296FF4" w:rsidRPr="00296FF4" w:rsidRDefault="00296FF4" w:rsidP="00296FF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96FF4">
        <w:rPr>
          <w:rFonts w:ascii="Times New Roman" w:eastAsia="Times New Roman" w:hAnsi="Times New Roman" w:cs="Times New Roman"/>
          <w:kern w:val="0"/>
          <w14:ligatures w14:val="none"/>
        </w:rPr>
        <w:t>Backtesting</w:t>
      </w:r>
      <w:proofErr w:type="spellEnd"/>
      <w:r w:rsidRPr="00296FF4">
        <w:rPr>
          <w:rFonts w:ascii="Times New Roman" w:eastAsia="Times New Roman" w:hAnsi="Times New Roman" w:cs="Times New Roman"/>
          <w:kern w:val="0"/>
          <w14:ligatures w14:val="none"/>
        </w:rPr>
        <w:t xml:space="preserve"> exception dashboard.</w:t>
      </w:r>
    </w:p>
    <w:p w14:paraId="1CC67ECC" w14:textId="77777777" w:rsidR="00296FF4" w:rsidRPr="00296FF4" w:rsidRDefault="00296FF4" w:rsidP="00296FF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6FF4">
        <w:rPr>
          <w:rFonts w:ascii="Times New Roman" w:eastAsia="Times New Roman" w:hAnsi="Times New Roman" w:cs="Times New Roman"/>
          <w:kern w:val="0"/>
          <w14:ligatures w14:val="none"/>
        </w:rPr>
        <w:t>Data quality dashboard.</w:t>
      </w:r>
    </w:p>
    <w:p w14:paraId="05FB0B37" w14:textId="77777777" w:rsidR="00296FF4" w:rsidRPr="00296FF4" w:rsidRDefault="00296FF4" w:rsidP="00296FF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6FF4">
        <w:rPr>
          <w:rFonts w:ascii="Times New Roman" w:eastAsia="Times New Roman" w:hAnsi="Times New Roman" w:cs="Times New Roman"/>
          <w:kern w:val="0"/>
          <w14:ligatures w14:val="none"/>
        </w:rPr>
        <w:t>Proxy governance dashboard.</w:t>
      </w:r>
    </w:p>
    <w:p w14:paraId="0AE9EBD0" w14:textId="77777777" w:rsidR="00296FF4" w:rsidRPr="00296FF4" w:rsidRDefault="00296FF4" w:rsidP="00296FF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6FF4">
        <w:rPr>
          <w:rFonts w:ascii="Times New Roman" w:eastAsia="Times New Roman" w:hAnsi="Times New Roman" w:cs="Times New Roman"/>
          <w:kern w:val="0"/>
          <w14:ligatures w14:val="none"/>
        </w:rPr>
        <w:t>Desk-level readiness scorecard.</w:t>
      </w:r>
    </w:p>
    <w:p w14:paraId="4B085232" w14:textId="77777777" w:rsidR="00296FF4" w:rsidRPr="00296FF4" w:rsidRDefault="00296FF4" w:rsidP="00296FF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6FF4">
        <w:rPr>
          <w:rFonts w:ascii="Times New Roman" w:eastAsia="Times New Roman" w:hAnsi="Times New Roman" w:cs="Times New Roman"/>
          <w:kern w:val="0"/>
          <w14:ligatures w14:val="none"/>
        </w:rPr>
        <w:t>Drilldown from capital number to risk factor, data source, proxy, and RPO evidence.</w:t>
      </w:r>
    </w:p>
    <w:p w14:paraId="19461485" w14:textId="77777777" w:rsidR="00296FF4" w:rsidRPr="00296FF4" w:rsidRDefault="000477A6" w:rsidP="00296FF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E07AF77">
          <v:rect id="_x0000_i1038" style="width:0;height:1.5pt" o:hralign="center" o:hrstd="t" o:hr="t" fillcolor="#a0a0a0" stroked="f"/>
        </w:pict>
      </w:r>
    </w:p>
    <w:p w14:paraId="308DE951" w14:textId="0DBB7F92" w:rsidR="00296FF4" w:rsidRPr="00296FF4" w:rsidRDefault="00296FF4" w:rsidP="00296F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96FF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</w:t>
      </w:r>
      <w:r w:rsidR="00A9137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</w:t>
      </w:r>
      <w:r w:rsidRPr="00296FF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. Governance, workflow, and evidence management</w:t>
      </w:r>
    </w:p>
    <w:p w14:paraId="4F3C8857" w14:textId="77777777" w:rsidR="00296FF4" w:rsidRPr="00296FF4" w:rsidRDefault="00296FF4" w:rsidP="00296F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6FF4">
        <w:rPr>
          <w:rFonts w:ascii="Times New Roman" w:eastAsia="Times New Roman" w:hAnsi="Times New Roman" w:cs="Times New Roman"/>
          <w:kern w:val="0"/>
          <w14:ligatures w14:val="none"/>
        </w:rPr>
        <w:t>Tech must support operating model and audit evidence.</w:t>
      </w:r>
    </w:p>
    <w:p w14:paraId="6047491F" w14:textId="77777777" w:rsidR="00296FF4" w:rsidRPr="00296FF4" w:rsidRDefault="00296FF4" w:rsidP="00296F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6F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Requirements:</w:t>
      </w:r>
    </w:p>
    <w:p w14:paraId="29CD0A19" w14:textId="77777777" w:rsidR="00296FF4" w:rsidRPr="00296FF4" w:rsidRDefault="00296FF4" w:rsidP="00296FF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6FF4">
        <w:rPr>
          <w:rFonts w:ascii="Times New Roman" w:eastAsia="Times New Roman" w:hAnsi="Times New Roman" w:cs="Times New Roman"/>
          <w:kern w:val="0"/>
          <w14:ligatures w14:val="none"/>
        </w:rPr>
        <w:t>Approval workflow.</w:t>
      </w:r>
    </w:p>
    <w:p w14:paraId="3A0920C6" w14:textId="77777777" w:rsidR="00296FF4" w:rsidRPr="00296FF4" w:rsidRDefault="00296FF4" w:rsidP="00296FF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6FF4">
        <w:rPr>
          <w:rFonts w:ascii="Times New Roman" w:eastAsia="Times New Roman" w:hAnsi="Times New Roman" w:cs="Times New Roman"/>
          <w:kern w:val="0"/>
          <w14:ligatures w14:val="none"/>
        </w:rPr>
        <w:t>Attestation workflow.</w:t>
      </w:r>
    </w:p>
    <w:p w14:paraId="0B3B0E8B" w14:textId="77777777" w:rsidR="00296FF4" w:rsidRPr="00296FF4" w:rsidRDefault="00296FF4" w:rsidP="00296FF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6FF4">
        <w:rPr>
          <w:rFonts w:ascii="Times New Roman" w:eastAsia="Times New Roman" w:hAnsi="Times New Roman" w:cs="Times New Roman"/>
          <w:kern w:val="0"/>
          <w14:ligatures w14:val="none"/>
        </w:rPr>
        <w:t>Role-based access control.</w:t>
      </w:r>
    </w:p>
    <w:p w14:paraId="73A9B054" w14:textId="77777777" w:rsidR="00296FF4" w:rsidRPr="00296FF4" w:rsidRDefault="00296FF4" w:rsidP="00296FF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6FF4">
        <w:rPr>
          <w:rFonts w:ascii="Times New Roman" w:eastAsia="Times New Roman" w:hAnsi="Times New Roman" w:cs="Times New Roman"/>
          <w:kern w:val="0"/>
          <w14:ligatures w14:val="none"/>
        </w:rPr>
        <w:t>Maker-checker controls.</w:t>
      </w:r>
    </w:p>
    <w:p w14:paraId="4FDE6B72" w14:textId="77777777" w:rsidR="00296FF4" w:rsidRPr="00296FF4" w:rsidRDefault="00296FF4" w:rsidP="00296FF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6FF4">
        <w:rPr>
          <w:rFonts w:ascii="Times New Roman" w:eastAsia="Times New Roman" w:hAnsi="Times New Roman" w:cs="Times New Roman"/>
          <w:kern w:val="0"/>
          <w14:ligatures w14:val="none"/>
        </w:rPr>
        <w:t>Override management.</w:t>
      </w:r>
    </w:p>
    <w:p w14:paraId="22CCC1AB" w14:textId="77777777" w:rsidR="00296FF4" w:rsidRPr="00296FF4" w:rsidRDefault="00296FF4" w:rsidP="00296FF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6FF4">
        <w:rPr>
          <w:rFonts w:ascii="Times New Roman" w:eastAsia="Times New Roman" w:hAnsi="Times New Roman" w:cs="Times New Roman"/>
          <w:kern w:val="0"/>
          <w14:ligatures w14:val="none"/>
        </w:rPr>
        <w:t>Model Risk evidence.</w:t>
      </w:r>
    </w:p>
    <w:p w14:paraId="242E7B04" w14:textId="77777777" w:rsidR="00296FF4" w:rsidRPr="00296FF4" w:rsidRDefault="00296FF4" w:rsidP="00296FF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6FF4">
        <w:rPr>
          <w:rFonts w:ascii="Times New Roman" w:eastAsia="Times New Roman" w:hAnsi="Times New Roman" w:cs="Times New Roman"/>
          <w:kern w:val="0"/>
          <w14:ligatures w14:val="none"/>
        </w:rPr>
        <w:t>Regulatory evidence packs.</w:t>
      </w:r>
    </w:p>
    <w:p w14:paraId="2631FD48" w14:textId="77777777" w:rsidR="00296FF4" w:rsidRPr="00296FF4" w:rsidRDefault="00296FF4" w:rsidP="00296FF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6FF4">
        <w:rPr>
          <w:rFonts w:ascii="Times New Roman" w:eastAsia="Times New Roman" w:hAnsi="Times New Roman" w:cs="Times New Roman"/>
          <w:kern w:val="0"/>
          <w14:ligatures w14:val="none"/>
        </w:rPr>
        <w:t>Quarterly RFET certification.</w:t>
      </w:r>
    </w:p>
    <w:p w14:paraId="66CE68CE" w14:textId="77777777" w:rsidR="00296FF4" w:rsidRPr="00296FF4" w:rsidRDefault="00296FF4" w:rsidP="00296FF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6FF4">
        <w:rPr>
          <w:rFonts w:ascii="Times New Roman" w:eastAsia="Times New Roman" w:hAnsi="Times New Roman" w:cs="Times New Roman"/>
          <w:kern w:val="0"/>
          <w14:ligatures w14:val="none"/>
        </w:rPr>
        <w:t>Desk-level signoff.</w:t>
      </w:r>
    </w:p>
    <w:p w14:paraId="179782C7" w14:textId="77777777" w:rsidR="00296FF4" w:rsidRPr="00296FF4" w:rsidRDefault="00296FF4" w:rsidP="00296FF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6FF4">
        <w:rPr>
          <w:rFonts w:ascii="Times New Roman" w:eastAsia="Times New Roman" w:hAnsi="Times New Roman" w:cs="Times New Roman"/>
          <w:kern w:val="0"/>
          <w14:ligatures w14:val="none"/>
        </w:rPr>
        <w:t>Change history.</w:t>
      </w:r>
    </w:p>
    <w:p w14:paraId="2A80BAE6" w14:textId="77777777" w:rsidR="00296FF4" w:rsidRPr="00296FF4" w:rsidRDefault="00296FF4" w:rsidP="00296FF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6FF4">
        <w:rPr>
          <w:rFonts w:ascii="Times New Roman" w:eastAsia="Times New Roman" w:hAnsi="Times New Roman" w:cs="Times New Roman"/>
          <w:kern w:val="0"/>
          <w14:ligatures w14:val="none"/>
        </w:rPr>
        <w:t>Audit logs.</w:t>
      </w:r>
    </w:p>
    <w:p w14:paraId="278EE2A5" w14:textId="77777777" w:rsidR="00296FF4" w:rsidRPr="00296FF4" w:rsidRDefault="00296FF4" w:rsidP="00296F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6F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Key point:</w:t>
      </w:r>
      <w:r w:rsidRPr="00296FF4">
        <w:rPr>
          <w:rFonts w:ascii="Times New Roman" w:eastAsia="Times New Roman" w:hAnsi="Times New Roman" w:cs="Times New Roman"/>
          <w:kern w:val="0"/>
          <w14:ligatures w14:val="none"/>
        </w:rPr>
        <w:t xml:space="preserve"> IMA is not only calculation. It is an evidence and control framework.</w:t>
      </w:r>
    </w:p>
    <w:p w14:paraId="2F99ACA8" w14:textId="77777777" w:rsidR="00296FF4" w:rsidRPr="00296FF4" w:rsidRDefault="000477A6" w:rsidP="00296FF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7E34CB6">
          <v:rect id="_x0000_i1039" style="width:0;height:1.5pt" o:hralign="center" o:hrstd="t" o:hr="t" fillcolor="#a0a0a0" stroked="f"/>
        </w:pict>
      </w:r>
    </w:p>
    <w:p w14:paraId="35818545" w14:textId="77777777" w:rsidR="00296FF4" w:rsidRPr="00296FF4" w:rsidRDefault="00296FF4" w:rsidP="00296F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96FF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16. Architecture and integration</w:t>
      </w:r>
    </w:p>
    <w:p w14:paraId="44E2728C" w14:textId="77777777" w:rsidR="00296FF4" w:rsidRPr="00296FF4" w:rsidRDefault="00296FF4" w:rsidP="00296F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6FF4">
        <w:rPr>
          <w:rFonts w:ascii="Times New Roman" w:eastAsia="Times New Roman" w:hAnsi="Times New Roman" w:cs="Times New Roman"/>
          <w:kern w:val="0"/>
          <w14:ligatures w14:val="none"/>
        </w:rPr>
        <w:t>Tech must integrate multiple platforms end-to-end.</w:t>
      </w:r>
    </w:p>
    <w:p w14:paraId="3E512D77" w14:textId="77777777" w:rsidR="00296FF4" w:rsidRPr="00296FF4" w:rsidRDefault="00296FF4" w:rsidP="00296F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6F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Requirements:</w:t>
      </w:r>
    </w:p>
    <w:p w14:paraId="4B4A0872" w14:textId="77777777" w:rsidR="00296FF4" w:rsidRPr="00296FF4" w:rsidRDefault="00296FF4" w:rsidP="00296FF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6FF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FO pricing systems integration.</w:t>
      </w:r>
    </w:p>
    <w:p w14:paraId="7232CB90" w14:textId="77777777" w:rsidR="00296FF4" w:rsidRPr="00296FF4" w:rsidRDefault="00296FF4" w:rsidP="00296FF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6FF4">
        <w:rPr>
          <w:rFonts w:ascii="Times New Roman" w:eastAsia="Times New Roman" w:hAnsi="Times New Roman" w:cs="Times New Roman"/>
          <w:kern w:val="0"/>
          <w14:ligatures w14:val="none"/>
        </w:rPr>
        <w:t>Market data platform integration.</w:t>
      </w:r>
    </w:p>
    <w:p w14:paraId="21B83E76" w14:textId="77777777" w:rsidR="00296FF4" w:rsidRPr="00296FF4" w:rsidRDefault="00296FF4" w:rsidP="00296FF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6FF4">
        <w:rPr>
          <w:rFonts w:ascii="Times New Roman" w:eastAsia="Times New Roman" w:hAnsi="Times New Roman" w:cs="Times New Roman"/>
          <w:kern w:val="0"/>
          <w14:ligatures w14:val="none"/>
        </w:rPr>
        <w:t>Risk engine integration.</w:t>
      </w:r>
    </w:p>
    <w:p w14:paraId="3441051E" w14:textId="77777777" w:rsidR="00296FF4" w:rsidRPr="00296FF4" w:rsidRDefault="00296FF4" w:rsidP="00296FF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6FF4">
        <w:rPr>
          <w:rFonts w:ascii="Times New Roman" w:eastAsia="Times New Roman" w:hAnsi="Times New Roman" w:cs="Times New Roman"/>
          <w:kern w:val="0"/>
          <w14:ligatures w14:val="none"/>
        </w:rPr>
        <w:t>RPO/vendor feed integration.</w:t>
      </w:r>
    </w:p>
    <w:p w14:paraId="3D6E17FB" w14:textId="77777777" w:rsidR="00296FF4" w:rsidRPr="00296FF4" w:rsidRDefault="00296FF4" w:rsidP="00296FF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6FF4">
        <w:rPr>
          <w:rFonts w:ascii="Times New Roman" w:eastAsia="Times New Roman" w:hAnsi="Times New Roman" w:cs="Times New Roman"/>
          <w:kern w:val="0"/>
          <w14:ligatures w14:val="none"/>
        </w:rPr>
        <w:t>Vasara / MARS / RFDM / MDSOR / EMR integration, depending on your architecture.</w:t>
      </w:r>
    </w:p>
    <w:p w14:paraId="439AC7FB" w14:textId="77777777" w:rsidR="00296FF4" w:rsidRPr="00296FF4" w:rsidRDefault="00296FF4" w:rsidP="00296FF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6FF4">
        <w:rPr>
          <w:rFonts w:ascii="Times New Roman" w:eastAsia="Times New Roman" w:hAnsi="Times New Roman" w:cs="Times New Roman"/>
          <w:kern w:val="0"/>
          <w14:ligatures w14:val="none"/>
        </w:rPr>
        <w:t>Central data model.</w:t>
      </w:r>
    </w:p>
    <w:p w14:paraId="23F6D32F" w14:textId="77777777" w:rsidR="00296FF4" w:rsidRPr="00296FF4" w:rsidRDefault="00296FF4" w:rsidP="00296FF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6FF4">
        <w:rPr>
          <w:rFonts w:ascii="Times New Roman" w:eastAsia="Times New Roman" w:hAnsi="Times New Roman" w:cs="Times New Roman"/>
          <w:kern w:val="0"/>
          <w14:ligatures w14:val="none"/>
        </w:rPr>
        <w:t>APIs for RF classification, RPO counts, ES inputs, and capital outputs.</w:t>
      </w:r>
    </w:p>
    <w:p w14:paraId="4F10743C" w14:textId="77777777" w:rsidR="00296FF4" w:rsidRPr="00296FF4" w:rsidRDefault="00296FF4" w:rsidP="00296FF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6FF4">
        <w:rPr>
          <w:rFonts w:ascii="Times New Roman" w:eastAsia="Times New Roman" w:hAnsi="Times New Roman" w:cs="Times New Roman"/>
          <w:kern w:val="0"/>
          <w14:ligatures w14:val="none"/>
        </w:rPr>
        <w:t>Batch and intraday processing where needed.</w:t>
      </w:r>
    </w:p>
    <w:p w14:paraId="45480A8C" w14:textId="77777777" w:rsidR="00296FF4" w:rsidRPr="00296FF4" w:rsidRDefault="00296FF4" w:rsidP="00296FF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6FF4">
        <w:rPr>
          <w:rFonts w:ascii="Times New Roman" w:eastAsia="Times New Roman" w:hAnsi="Times New Roman" w:cs="Times New Roman"/>
          <w:kern w:val="0"/>
          <w14:ligatures w14:val="none"/>
        </w:rPr>
        <w:t>Scalable compute for daily ES and stress runs.</w:t>
      </w:r>
    </w:p>
    <w:p w14:paraId="77C97426" w14:textId="77777777" w:rsidR="00296FF4" w:rsidRPr="00296FF4" w:rsidRDefault="000477A6" w:rsidP="00296FF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602ABEC">
          <v:rect id="_x0000_i1040" style="width:0;height:1.5pt" o:hralign="center" o:hrstd="t" o:hr="t" fillcolor="#a0a0a0" stroked="f"/>
        </w:pict>
      </w:r>
    </w:p>
    <w:p w14:paraId="0679C71A" w14:textId="33DB7AD3" w:rsidR="00296FF4" w:rsidRPr="00296FF4" w:rsidRDefault="00296FF4" w:rsidP="00296F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96FF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The </w:t>
      </w:r>
      <w:proofErr w:type="gramStart"/>
      <w:r w:rsidRPr="00296FF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simplest  summary</w:t>
      </w:r>
      <w:proofErr w:type="gramEnd"/>
    </w:p>
    <w:p w14:paraId="08D7D623" w14:textId="0603C361" w:rsidR="00296FF4" w:rsidRPr="00296FF4" w:rsidRDefault="00296FF4" w:rsidP="00296F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6FF4">
        <w:rPr>
          <w:rFonts w:ascii="Times New Roman" w:eastAsia="Times New Roman" w:hAnsi="Times New Roman" w:cs="Times New Roman"/>
          <w:kern w:val="0"/>
          <w14:ligatures w14:val="none"/>
        </w:rPr>
        <w:t xml:space="preserve">Tech needs to build </w:t>
      </w:r>
      <w:r w:rsidRPr="00296F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core IMA capabilities</w:t>
      </w:r>
      <w:r w:rsidRPr="00296FF4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B3EBE33" w14:textId="77777777" w:rsidR="00296FF4" w:rsidRPr="00296FF4" w:rsidRDefault="00296FF4" w:rsidP="00296FF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6F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Risk factor inventory and taxonomy</w:t>
      </w:r>
    </w:p>
    <w:p w14:paraId="1113A14B" w14:textId="77777777" w:rsidR="00296FF4" w:rsidRPr="00296FF4" w:rsidRDefault="00296FF4" w:rsidP="00296FF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6F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RPO ingestion, storage, and mapping</w:t>
      </w:r>
    </w:p>
    <w:p w14:paraId="391F69E7" w14:textId="77777777" w:rsidR="00296FF4" w:rsidRPr="00296FF4" w:rsidRDefault="00296FF4" w:rsidP="00296FF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6F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RFET quantitative and qualitative testing</w:t>
      </w:r>
    </w:p>
    <w:p w14:paraId="052E8A7A" w14:textId="77777777" w:rsidR="00296FF4" w:rsidRPr="00296FF4" w:rsidRDefault="00296FF4" w:rsidP="00296FF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6F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MRF/NMRF classification and liquidity horizon assignment</w:t>
      </w:r>
    </w:p>
    <w:p w14:paraId="65832FB4" w14:textId="77777777" w:rsidR="00296FF4" w:rsidRPr="00296FF4" w:rsidRDefault="00296FF4" w:rsidP="00296FF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6F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ES / IMCC calculation</w:t>
      </w:r>
    </w:p>
    <w:p w14:paraId="74C9EDDF" w14:textId="77777777" w:rsidR="00296FF4" w:rsidRPr="00296FF4" w:rsidRDefault="00296FF4" w:rsidP="00296FF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6F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SES / NMRF capital calculation</w:t>
      </w:r>
    </w:p>
    <w:p w14:paraId="01B769EB" w14:textId="77777777" w:rsidR="00296FF4" w:rsidRPr="00296FF4" w:rsidRDefault="00296FF4" w:rsidP="00296FF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6F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PLA and </w:t>
      </w:r>
      <w:proofErr w:type="spellStart"/>
      <w:r w:rsidRPr="00296F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backtesting</w:t>
      </w:r>
      <w:proofErr w:type="spellEnd"/>
      <w:r w:rsidRPr="00296F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support</w:t>
      </w:r>
    </w:p>
    <w:p w14:paraId="7467110B" w14:textId="77777777" w:rsidR="00296FF4" w:rsidRPr="00296FF4" w:rsidRDefault="00296FF4" w:rsidP="00296FF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6F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Dashboards, controls, workflow, and regulatory evidence</w:t>
      </w:r>
    </w:p>
    <w:p w14:paraId="45C0E895" w14:textId="77777777" w:rsidR="00296FF4" w:rsidRPr="00296FF4" w:rsidRDefault="00296FF4" w:rsidP="00296F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6FF4">
        <w:rPr>
          <w:rFonts w:ascii="Times New Roman" w:eastAsia="Times New Roman" w:hAnsi="Times New Roman" w:cs="Times New Roman"/>
          <w:kern w:val="0"/>
          <w14:ligatures w14:val="none"/>
        </w:rPr>
        <w:t>IMA is not one model build. It is an end-to-end risk factor, market data, capital calculation, evidence, and governance platform. The hardest parts are not only ES calculation; they are RF taxonomy, RPO mapping, proxy governance, data quality, PLA explainability, and regulatory evidence.</w:t>
      </w:r>
    </w:p>
    <w:p w14:paraId="223A362C" w14:textId="77777777" w:rsidR="00296FF4" w:rsidRDefault="00296FF4"/>
    <w:p w14:paraId="62BBBA7A" w14:textId="77777777" w:rsidR="000477A6" w:rsidRDefault="000477A6" w:rsidP="000477A6">
      <w:pPr>
        <w:pStyle w:val="Heading1"/>
      </w:pPr>
      <w:r>
        <w:t>Requirement principles</w:t>
      </w:r>
    </w:p>
    <w:p w14:paraId="56EDBEF3" w14:textId="77777777" w:rsidR="000477A6" w:rsidRDefault="000477A6" w:rsidP="000477A6">
      <w:pPr>
        <w:pStyle w:val="ListBullet"/>
        <w:tabs>
          <w:tab w:val="num" w:pos="360"/>
        </w:tabs>
        <w:ind w:left="360" w:hanging="360"/>
        <w:rPr>
          <w:rFonts w:hint="eastAsia"/>
        </w:rPr>
      </w:pPr>
      <w:r>
        <w:t>All risk factors from RFDM/MARS and MDSOR/EMR must be reconciled into a golden inventory.</w:t>
      </w:r>
    </w:p>
    <w:p w14:paraId="79C347F1" w14:textId="77777777" w:rsidR="000477A6" w:rsidRDefault="000477A6" w:rsidP="000477A6">
      <w:pPr>
        <w:pStyle w:val="ListBullet"/>
        <w:tabs>
          <w:tab w:val="num" w:pos="360"/>
        </w:tabs>
        <w:ind w:left="360" w:hanging="360"/>
        <w:rPr>
          <w:rFonts w:hint="eastAsia"/>
        </w:rPr>
      </w:pPr>
      <w:r>
        <w:t>Every risk factor must have classification, lineage, liquidity horizon, owner, effective dates, and evidence.</w:t>
      </w:r>
    </w:p>
    <w:p w14:paraId="53ABD652" w14:textId="77777777" w:rsidR="000477A6" w:rsidRDefault="000477A6" w:rsidP="000477A6">
      <w:pPr>
        <w:pStyle w:val="ListBullet"/>
        <w:tabs>
          <w:tab w:val="num" w:pos="360"/>
        </w:tabs>
        <w:ind w:left="360" w:hanging="360"/>
        <w:rPr>
          <w:rFonts w:hint="eastAsia"/>
        </w:rPr>
      </w:pPr>
      <w:r>
        <w:t>RFET requires both quantitative RPO-based computation and qualitative suitability review.</w:t>
      </w:r>
    </w:p>
    <w:p w14:paraId="0249E5AE" w14:textId="77777777" w:rsidR="000477A6" w:rsidRDefault="000477A6" w:rsidP="000477A6">
      <w:pPr>
        <w:pStyle w:val="ListBullet"/>
        <w:tabs>
          <w:tab w:val="num" w:pos="360"/>
        </w:tabs>
        <w:ind w:left="360" w:hanging="360"/>
        <w:rPr>
          <w:rFonts w:hint="eastAsia"/>
        </w:rPr>
      </w:pPr>
      <w:r>
        <w:t>Daily computation must feed daily validation, rolling-window monitoring, and quarterly/three-month governance decisions.</w:t>
      </w:r>
    </w:p>
    <w:p w14:paraId="67FCE82D" w14:textId="77777777" w:rsidR="000477A6" w:rsidRDefault="000477A6" w:rsidP="000477A6">
      <w:pPr>
        <w:pStyle w:val="Heading1"/>
      </w:pPr>
      <w:r>
        <w:t>RFET Core Build Requirements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78"/>
        <w:gridCol w:w="3285"/>
        <w:gridCol w:w="5387"/>
      </w:tblGrid>
      <w:tr w:rsidR="000477A6" w14:paraId="7DE80C4E" w14:textId="77777777" w:rsidTr="002F195E">
        <w:trPr>
          <w:jc w:val="center"/>
        </w:trPr>
        <w:tc>
          <w:tcPr>
            <w:tcW w:w="720" w:type="dxa"/>
            <w:shd w:val="clear" w:color="auto" w:fill="0B1F4D"/>
          </w:tcPr>
          <w:p w14:paraId="6C63E761" w14:textId="77777777" w:rsidR="000477A6" w:rsidRDefault="000477A6" w:rsidP="002F195E">
            <w:pPr>
              <w:rPr>
                <w:rFonts w:hint="eastAsia"/>
              </w:rPr>
            </w:pPr>
            <w:r>
              <w:rPr>
                <w:rFonts w:ascii="Aptos" w:hAnsi="Aptos"/>
                <w:b/>
                <w:color w:val="FFFFFF"/>
                <w:sz w:val="17"/>
              </w:rPr>
              <w:t>#</w:t>
            </w:r>
          </w:p>
        </w:tc>
        <w:tc>
          <w:tcPr>
            <w:tcW w:w="3600" w:type="dxa"/>
            <w:shd w:val="clear" w:color="auto" w:fill="0B1F4D"/>
          </w:tcPr>
          <w:p w14:paraId="4FB06DB2" w14:textId="77777777" w:rsidR="000477A6" w:rsidRDefault="000477A6" w:rsidP="002F195E">
            <w:pPr>
              <w:rPr>
                <w:rFonts w:hint="eastAsia"/>
              </w:rPr>
            </w:pPr>
            <w:r>
              <w:rPr>
                <w:rFonts w:ascii="Aptos" w:hAnsi="Aptos"/>
                <w:b/>
                <w:color w:val="FFFFFF"/>
                <w:sz w:val="17"/>
              </w:rPr>
              <w:t>Requirement</w:t>
            </w:r>
          </w:p>
        </w:tc>
        <w:tc>
          <w:tcPr>
            <w:tcW w:w="6048" w:type="dxa"/>
            <w:shd w:val="clear" w:color="auto" w:fill="0B1F4D"/>
          </w:tcPr>
          <w:p w14:paraId="3E6D3070" w14:textId="77777777" w:rsidR="000477A6" w:rsidRDefault="000477A6" w:rsidP="002F195E">
            <w:pPr>
              <w:rPr>
                <w:rFonts w:hint="eastAsia"/>
              </w:rPr>
            </w:pPr>
            <w:r>
              <w:rPr>
                <w:rFonts w:ascii="Aptos" w:hAnsi="Aptos"/>
                <w:b/>
                <w:color w:val="FFFFFF"/>
                <w:sz w:val="17"/>
              </w:rPr>
              <w:t>Acceptance criteria</w:t>
            </w:r>
          </w:p>
        </w:tc>
      </w:tr>
      <w:tr w:rsidR="000477A6" w14:paraId="4EC0562D" w14:textId="77777777" w:rsidTr="002F195E">
        <w:trPr>
          <w:jc w:val="center"/>
        </w:trPr>
        <w:tc>
          <w:tcPr>
            <w:tcW w:w="720" w:type="dxa"/>
          </w:tcPr>
          <w:p w14:paraId="4A2D0173" w14:textId="77777777" w:rsidR="000477A6" w:rsidRDefault="000477A6" w:rsidP="002F195E">
            <w:pPr>
              <w:rPr>
                <w:rFonts w:hint="eastAsia"/>
              </w:rPr>
            </w:pPr>
            <w:r>
              <w:t>1</w:t>
            </w:r>
          </w:p>
        </w:tc>
        <w:tc>
          <w:tcPr>
            <w:tcW w:w="3600" w:type="dxa"/>
          </w:tcPr>
          <w:p w14:paraId="3B9D6F05" w14:textId="77777777" w:rsidR="000477A6" w:rsidRDefault="000477A6" w:rsidP="002F195E">
            <w:pPr>
              <w:rPr>
                <w:rFonts w:hint="eastAsia"/>
              </w:rPr>
            </w:pPr>
            <w:r>
              <w:t>RFET Target Architecture &amp; Integration</w:t>
            </w:r>
          </w:p>
        </w:tc>
        <w:tc>
          <w:tcPr>
            <w:tcW w:w="6048" w:type="dxa"/>
          </w:tcPr>
          <w:p w14:paraId="21B8EF48" w14:textId="77777777" w:rsidR="000477A6" w:rsidRDefault="000477A6" w:rsidP="002F195E">
            <w:pPr>
              <w:rPr>
                <w:rFonts w:hint="eastAsia"/>
              </w:rPr>
            </w:pPr>
            <w:r>
              <w:t xml:space="preserve">Define integration contracts, services, data flows, target deployment model, ownership boundaries, batch/API </w:t>
            </w:r>
            <w:r>
              <w:lastRenderedPageBreak/>
              <w:t>expectations, and operational handoffs. Acceptance: output is available via dashboard/API and has evidence, audit trail, owner, and exception workflow.</w:t>
            </w:r>
          </w:p>
        </w:tc>
      </w:tr>
      <w:tr w:rsidR="000477A6" w14:paraId="4B859243" w14:textId="77777777" w:rsidTr="002F195E">
        <w:trPr>
          <w:jc w:val="center"/>
        </w:trPr>
        <w:tc>
          <w:tcPr>
            <w:tcW w:w="720" w:type="dxa"/>
            <w:shd w:val="clear" w:color="auto" w:fill="F2F5F7"/>
          </w:tcPr>
          <w:p w14:paraId="43B6DEF4" w14:textId="77777777" w:rsidR="000477A6" w:rsidRDefault="000477A6" w:rsidP="002F195E">
            <w:pPr>
              <w:rPr>
                <w:rFonts w:hint="eastAsia"/>
              </w:rPr>
            </w:pPr>
            <w:r>
              <w:lastRenderedPageBreak/>
              <w:t>2</w:t>
            </w:r>
          </w:p>
        </w:tc>
        <w:tc>
          <w:tcPr>
            <w:tcW w:w="3600" w:type="dxa"/>
            <w:shd w:val="clear" w:color="auto" w:fill="F2F5F7"/>
          </w:tcPr>
          <w:p w14:paraId="599411FA" w14:textId="77777777" w:rsidR="000477A6" w:rsidRDefault="000477A6" w:rsidP="002F195E">
            <w:pPr>
              <w:rPr>
                <w:rFonts w:hint="eastAsia"/>
              </w:rPr>
            </w:pPr>
            <w:r>
              <w:t>MDO-to-RF Mapping &amp; Lineage Engine</w:t>
            </w:r>
          </w:p>
        </w:tc>
        <w:tc>
          <w:tcPr>
            <w:tcW w:w="6048" w:type="dxa"/>
            <w:shd w:val="clear" w:color="auto" w:fill="F2F5F7"/>
          </w:tcPr>
          <w:p w14:paraId="20828DC5" w14:textId="77777777" w:rsidR="000477A6" w:rsidRDefault="000477A6" w:rsidP="002F195E">
            <w:pPr>
              <w:rPr>
                <w:rFonts w:hint="eastAsia"/>
              </w:rPr>
            </w:pPr>
            <w:r>
              <w:t>Ingest FO market data object catalogs and risk-factor catalogs; map FO objects to internal risk factors; expose lineage, exceptions, and rule traceability. Acceptance: output is available via dashboard/API and has evidence, audit trail, owner, and exception workflow.</w:t>
            </w:r>
          </w:p>
        </w:tc>
      </w:tr>
      <w:tr w:rsidR="000477A6" w14:paraId="6A329758" w14:textId="77777777" w:rsidTr="002F195E">
        <w:trPr>
          <w:jc w:val="center"/>
        </w:trPr>
        <w:tc>
          <w:tcPr>
            <w:tcW w:w="720" w:type="dxa"/>
          </w:tcPr>
          <w:p w14:paraId="5E48EA0E" w14:textId="77777777" w:rsidR="000477A6" w:rsidRDefault="000477A6" w:rsidP="002F195E">
            <w:pPr>
              <w:rPr>
                <w:rFonts w:hint="eastAsia"/>
              </w:rPr>
            </w:pPr>
            <w:r>
              <w:t>3</w:t>
            </w:r>
          </w:p>
        </w:tc>
        <w:tc>
          <w:tcPr>
            <w:tcW w:w="3600" w:type="dxa"/>
          </w:tcPr>
          <w:p w14:paraId="2E48137F" w14:textId="77777777" w:rsidR="000477A6" w:rsidRDefault="000477A6" w:rsidP="002F195E">
            <w:pPr>
              <w:rPr>
                <w:rFonts w:hint="eastAsia"/>
              </w:rPr>
            </w:pPr>
            <w:r>
              <w:t>RPO Data Platform</w:t>
            </w:r>
          </w:p>
        </w:tc>
        <w:tc>
          <w:tcPr>
            <w:tcW w:w="6048" w:type="dxa"/>
          </w:tcPr>
          <w:p w14:paraId="1E20C502" w14:textId="77777777" w:rsidR="000477A6" w:rsidRDefault="000477A6" w:rsidP="002F195E">
            <w:pPr>
              <w:rPr>
                <w:rFonts w:hint="eastAsia"/>
              </w:rPr>
            </w:pPr>
            <w:r>
              <w:t>Ingest, store, normalize, deduplicate, bucket, age, and aggregate real price observations from vendors, internal sources, transactions, and quotes. Acceptance: output is available via dashboard/API and has evidence, audit trail, owner, and exception workflow.</w:t>
            </w:r>
          </w:p>
        </w:tc>
      </w:tr>
      <w:tr w:rsidR="000477A6" w14:paraId="6C0DC268" w14:textId="77777777" w:rsidTr="002F195E">
        <w:trPr>
          <w:jc w:val="center"/>
        </w:trPr>
        <w:tc>
          <w:tcPr>
            <w:tcW w:w="720" w:type="dxa"/>
            <w:shd w:val="clear" w:color="auto" w:fill="F2F5F7"/>
          </w:tcPr>
          <w:p w14:paraId="31E4FEF5" w14:textId="77777777" w:rsidR="000477A6" w:rsidRDefault="000477A6" w:rsidP="002F195E">
            <w:pPr>
              <w:rPr>
                <w:rFonts w:hint="eastAsia"/>
              </w:rPr>
            </w:pPr>
            <w:r>
              <w:t>4</w:t>
            </w:r>
          </w:p>
        </w:tc>
        <w:tc>
          <w:tcPr>
            <w:tcW w:w="3600" w:type="dxa"/>
            <w:shd w:val="clear" w:color="auto" w:fill="F2F5F7"/>
          </w:tcPr>
          <w:p w14:paraId="3915DDBD" w14:textId="77777777" w:rsidR="000477A6" w:rsidRDefault="000477A6" w:rsidP="002F195E">
            <w:pPr>
              <w:rPr>
                <w:rFonts w:hint="eastAsia"/>
              </w:rPr>
            </w:pPr>
            <w:r>
              <w:t>RPO-to-RF Mapping Engine</w:t>
            </w:r>
          </w:p>
        </w:tc>
        <w:tc>
          <w:tcPr>
            <w:tcW w:w="6048" w:type="dxa"/>
            <w:shd w:val="clear" w:color="auto" w:fill="F2F5F7"/>
          </w:tcPr>
          <w:p w14:paraId="16E8623F" w14:textId="77777777" w:rsidR="000477A6" w:rsidRDefault="000477A6" w:rsidP="002F195E">
            <w:pPr>
              <w:rPr>
                <w:rFonts w:hint="eastAsia"/>
              </w:rPr>
            </w:pPr>
            <w:r>
              <w:t>Translate RPO identifiers and economic attributes into internal RF keys using rules, if/else logic, confidence scoring, and exception queues. Acceptance: output is available via dashboard/API and has evidence, audit trail, owner, and exception workflow.</w:t>
            </w:r>
          </w:p>
        </w:tc>
      </w:tr>
      <w:tr w:rsidR="000477A6" w14:paraId="773191B2" w14:textId="77777777" w:rsidTr="002F195E">
        <w:trPr>
          <w:jc w:val="center"/>
        </w:trPr>
        <w:tc>
          <w:tcPr>
            <w:tcW w:w="720" w:type="dxa"/>
          </w:tcPr>
          <w:p w14:paraId="66E80079" w14:textId="77777777" w:rsidR="000477A6" w:rsidRDefault="000477A6" w:rsidP="002F195E">
            <w:pPr>
              <w:rPr>
                <w:rFonts w:hint="eastAsia"/>
              </w:rPr>
            </w:pPr>
            <w:r>
              <w:t>5</w:t>
            </w:r>
          </w:p>
        </w:tc>
        <w:tc>
          <w:tcPr>
            <w:tcW w:w="3600" w:type="dxa"/>
          </w:tcPr>
          <w:p w14:paraId="6D6702FD" w14:textId="77777777" w:rsidR="000477A6" w:rsidRDefault="000477A6" w:rsidP="002F195E">
            <w:pPr>
              <w:rPr>
                <w:rFonts w:hint="eastAsia"/>
              </w:rPr>
            </w:pPr>
            <w:r>
              <w:t>Liquidity Horizon Assignment Engine</w:t>
            </w:r>
          </w:p>
        </w:tc>
        <w:tc>
          <w:tcPr>
            <w:tcW w:w="6048" w:type="dxa"/>
          </w:tcPr>
          <w:p w14:paraId="23EA865E" w14:textId="77777777" w:rsidR="000477A6" w:rsidRDefault="000477A6" w:rsidP="002F195E">
            <w:pPr>
              <w:rPr>
                <w:rFonts w:hint="eastAsia"/>
              </w:rPr>
            </w:pPr>
            <w:r>
              <w:t>Assign auditable liquidity horizon by risk factor using taxonomy, product, tenor, maturity, market, and governance rules. Acceptance: output is available via dashboard/API and has evidence, audit trail, owner, and exception workflow.</w:t>
            </w:r>
          </w:p>
        </w:tc>
      </w:tr>
      <w:tr w:rsidR="000477A6" w14:paraId="7A09F083" w14:textId="77777777" w:rsidTr="002F195E">
        <w:trPr>
          <w:jc w:val="center"/>
        </w:trPr>
        <w:tc>
          <w:tcPr>
            <w:tcW w:w="720" w:type="dxa"/>
            <w:shd w:val="clear" w:color="auto" w:fill="F2F5F7"/>
          </w:tcPr>
          <w:p w14:paraId="43AF59CB" w14:textId="77777777" w:rsidR="000477A6" w:rsidRDefault="000477A6" w:rsidP="002F195E">
            <w:pPr>
              <w:rPr>
                <w:rFonts w:hint="eastAsia"/>
              </w:rPr>
            </w:pPr>
            <w:r>
              <w:t>6</w:t>
            </w:r>
          </w:p>
        </w:tc>
        <w:tc>
          <w:tcPr>
            <w:tcW w:w="3600" w:type="dxa"/>
            <w:shd w:val="clear" w:color="auto" w:fill="F2F5F7"/>
          </w:tcPr>
          <w:p w14:paraId="39148B9A" w14:textId="77777777" w:rsidR="000477A6" w:rsidRDefault="000477A6" w:rsidP="002F195E">
            <w:pPr>
              <w:rPr>
                <w:rFonts w:hint="eastAsia"/>
              </w:rPr>
            </w:pPr>
            <w:r>
              <w:t>Quantitative Test Engine</w:t>
            </w:r>
          </w:p>
        </w:tc>
        <w:tc>
          <w:tcPr>
            <w:tcW w:w="6048" w:type="dxa"/>
            <w:shd w:val="clear" w:color="auto" w:fill="F2F5F7"/>
          </w:tcPr>
          <w:p w14:paraId="643C5807" w14:textId="77777777" w:rsidR="000477A6" w:rsidRDefault="000477A6" w:rsidP="002F195E">
            <w:pPr>
              <w:rPr>
                <w:rFonts w:hint="eastAsia"/>
              </w:rPr>
            </w:pPr>
            <w:r>
              <w:t>Run rolling 12-month RPO counting, thresholds, one-observation-per-day logic, gap checks, near-breach indicators, and daily trend reporting. Acceptance: output is available via dashboard/API and has evidence, audit trail, owner, and exception workflow.</w:t>
            </w:r>
          </w:p>
        </w:tc>
      </w:tr>
      <w:tr w:rsidR="000477A6" w14:paraId="2C27E201" w14:textId="77777777" w:rsidTr="002F195E">
        <w:trPr>
          <w:jc w:val="center"/>
        </w:trPr>
        <w:tc>
          <w:tcPr>
            <w:tcW w:w="720" w:type="dxa"/>
          </w:tcPr>
          <w:p w14:paraId="6A5CC7F9" w14:textId="77777777" w:rsidR="000477A6" w:rsidRDefault="000477A6" w:rsidP="002F195E">
            <w:pPr>
              <w:rPr>
                <w:rFonts w:hint="eastAsia"/>
              </w:rPr>
            </w:pPr>
            <w:r>
              <w:t>7</w:t>
            </w:r>
          </w:p>
        </w:tc>
        <w:tc>
          <w:tcPr>
            <w:tcW w:w="3600" w:type="dxa"/>
          </w:tcPr>
          <w:p w14:paraId="04709B5D" w14:textId="77777777" w:rsidR="000477A6" w:rsidRDefault="000477A6" w:rsidP="002F195E">
            <w:pPr>
              <w:rPr>
                <w:rFonts w:hint="eastAsia"/>
              </w:rPr>
            </w:pPr>
            <w:r>
              <w:t>Qualitative Workflow &amp; Evidence Engine</w:t>
            </w:r>
          </w:p>
        </w:tc>
        <w:tc>
          <w:tcPr>
            <w:tcW w:w="6048" w:type="dxa"/>
          </w:tcPr>
          <w:p w14:paraId="6F04F495" w14:textId="77777777" w:rsidR="000477A6" w:rsidRDefault="000477A6" w:rsidP="002F195E">
            <w:pPr>
              <w:rPr>
                <w:rFonts w:hint="eastAsia"/>
              </w:rPr>
            </w:pPr>
            <w:r>
              <w:t>Support qualitative assessment, SME review, evidence capture, approval, override, control attestation, and audit trail. Acceptance: output is available via dashboard/API and has evidence, audit trail, owner, and exception workflow.</w:t>
            </w:r>
          </w:p>
        </w:tc>
      </w:tr>
      <w:tr w:rsidR="000477A6" w14:paraId="3B11DB56" w14:textId="77777777" w:rsidTr="002F195E">
        <w:trPr>
          <w:jc w:val="center"/>
        </w:trPr>
        <w:tc>
          <w:tcPr>
            <w:tcW w:w="720" w:type="dxa"/>
            <w:shd w:val="clear" w:color="auto" w:fill="F2F5F7"/>
          </w:tcPr>
          <w:p w14:paraId="11160D2B" w14:textId="77777777" w:rsidR="000477A6" w:rsidRDefault="000477A6" w:rsidP="002F195E">
            <w:pPr>
              <w:rPr>
                <w:rFonts w:hint="eastAsia"/>
              </w:rPr>
            </w:pPr>
            <w:r>
              <w:t>8</w:t>
            </w:r>
          </w:p>
        </w:tc>
        <w:tc>
          <w:tcPr>
            <w:tcW w:w="3600" w:type="dxa"/>
            <w:shd w:val="clear" w:color="auto" w:fill="F2F5F7"/>
          </w:tcPr>
          <w:p w14:paraId="1603E511" w14:textId="77777777" w:rsidR="000477A6" w:rsidRDefault="000477A6" w:rsidP="002F195E">
            <w:pPr>
              <w:rPr>
                <w:rFonts w:hint="eastAsia"/>
              </w:rPr>
            </w:pPr>
            <w:r>
              <w:t>RFET Classification Engine</w:t>
            </w:r>
          </w:p>
        </w:tc>
        <w:tc>
          <w:tcPr>
            <w:tcW w:w="6048" w:type="dxa"/>
            <w:shd w:val="clear" w:color="auto" w:fill="F2F5F7"/>
          </w:tcPr>
          <w:p w14:paraId="2E778ABA" w14:textId="77777777" w:rsidR="000477A6" w:rsidRDefault="000477A6" w:rsidP="002F195E">
            <w:pPr>
              <w:rPr>
                <w:rFonts w:hint="eastAsia"/>
              </w:rPr>
            </w:pPr>
            <w:r>
              <w:t>Combine quantitative and qualitative outcomes to classify each RF as Modellable, Type A NMRF, or Type B NMRF with effective dates. Acceptance: output is available via dashboard/API and has evidence, audit trail, owner, and exception workflow.</w:t>
            </w:r>
          </w:p>
        </w:tc>
      </w:tr>
      <w:tr w:rsidR="000477A6" w14:paraId="7C2ED70C" w14:textId="77777777" w:rsidTr="002F195E">
        <w:trPr>
          <w:jc w:val="center"/>
        </w:trPr>
        <w:tc>
          <w:tcPr>
            <w:tcW w:w="720" w:type="dxa"/>
          </w:tcPr>
          <w:p w14:paraId="37183CF2" w14:textId="77777777" w:rsidR="000477A6" w:rsidRDefault="000477A6" w:rsidP="002F195E">
            <w:pPr>
              <w:rPr>
                <w:rFonts w:hint="eastAsia"/>
              </w:rPr>
            </w:pPr>
            <w:r>
              <w:t>9</w:t>
            </w:r>
          </w:p>
        </w:tc>
        <w:tc>
          <w:tcPr>
            <w:tcW w:w="3600" w:type="dxa"/>
          </w:tcPr>
          <w:p w14:paraId="37E6ED6D" w14:textId="77777777" w:rsidR="000477A6" w:rsidRDefault="000477A6" w:rsidP="002F195E">
            <w:pPr>
              <w:rPr>
                <w:rFonts w:hint="eastAsia"/>
              </w:rPr>
            </w:pPr>
            <w:r>
              <w:t>Monitoring Dashboards &amp; Predictive Alerts</w:t>
            </w:r>
          </w:p>
        </w:tc>
        <w:tc>
          <w:tcPr>
            <w:tcW w:w="6048" w:type="dxa"/>
          </w:tcPr>
          <w:p w14:paraId="312F3C73" w14:textId="77777777" w:rsidR="000477A6" w:rsidRDefault="000477A6" w:rsidP="002F195E">
            <w:pPr>
              <w:rPr>
                <w:rFonts w:hint="eastAsia"/>
              </w:rPr>
            </w:pPr>
            <w:r>
              <w:t>Provide coverage heatmaps, missing mapping dashboards, near-breach alerts, drill-downs, and management reporting. Acceptance: output is available via dashboard/API and has evidence, audit trail, owner, and exception workflow.</w:t>
            </w:r>
          </w:p>
        </w:tc>
      </w:tr>
      <w:tr w:rsidR="000477A6" w14:paraId="79D0DD8D" w14:textId="77777777" w:rsidTr="002F195E">
        <w:trPr>
          <w:jc w:val="center"/>
        </w:trPr>
        <w:tc>
          <w:tcPr>
            <w:tcW w:w="720" w:type="dxa"/>
            <w:shd w:val="clear" w:color="auto" w:fill="F2F5F7"/>
          </w:tcPr>
          <w:p w14:paraId="2BFCEE4F" w14:textId="77777777" w:rsidR="000477A6" w:rsidRDefault="000477A6" w:rsidP="002F195E">
            <w:pPr>
              <w:rPr>
                <w:rFonts w:hint="eastAsia"/>
              </w:rPr>
            </w:pPr>
            <w:r>
              <w:t>10</w:t>
            </w:r>
          </w:p>
        </w:tc>
        <w:tc>
          <w:tcPr>
            <w:tcW w:w="3600" w:type="dxa"/>
            <w:shd w:val="clear" w:color="auto" w:fill="F2F5F7"/>
          </w:tcPr>
          <w:p w14:paraId="214F056C" w14:textId="77777777" w:rsidR="000477A6" w:rsidRDefault="000477A6" w:rsidP="002F195E">
            <w:pPr>
              <w:rPr>
                <w:rFonts w:hint="eastAsia"/>
              </w:rPr>
            </w:pPr>
            <w:r>
              <w:t>BAU Governance &amp; Orchestration</w:t>
            </w:r>
          </w:p>
        </w:tc>
        <w:tc>
          <w:tcPr>
            <w:tcW w:w="6048" w:type="dxa"/>
            <w:shd w:val="clear" w:color="auto" w:fill="F2F5F7"/>
          </w:tcPr>
          <w:p w14:paraId="6F8FC6F7" w14:textId="77777777" w:rsidR="000477A6" w:rsidRDefault="000477A6" w:rsidP="002F195E">
            <w:pPr>
              <w:rPr>
                <w:rFonts w:hint="eastAsia"/>
              </w:rPr>
            </w:pPr>
            <w:r>
              <w:t xml:space="preserve">Orchestrate daily runs, validation loops, quarterly refresh, reclassification workflow, approvals, and evidence package generation. Acceptance: output is </w:t>
            </w:r>
            <w:r>
              <w:lastRenderedPageBreak/>
              <w:t>available via dashboard/API and has evidence, audit trail, owner, and exception workflow.</w:t>
            </w:r>
          </w:p>
        </w:tc>
      </w:tr>
    </w:tbl>
    <w:p w14:paraId="5CD052BF" w14:textId="77777777" w:rsidR="000477A6" w:rsidRDefault="000477A6" w:rsidP="000477A6">
      <w:pPr>
        <w:pStyle w:val="Heading1"/>
      </w:pPr>
      <w:r>
        <w:lastRenderedPageBreak/>
        <w:t>IMA Risk Factor Readiness Requirements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58"/>
        <w:gridCol w:w="3274"/>
        <w:gridCol w:w="5418"/>
      </w:tblGrid>
      <w:tr w:rsidR="000477A6" w14:paraId="522F845C" w14:textId="77777777" w:rsidTr="002F195E">
        <w:trPr>
          <w:jc w:val="center"/>
        </w:trPr>
        <w:tc>
          <w:tcPr>
            <w:tcW w:w="720" w:type="dxa"/>
            <w:shd w:val="clear" w:color="auto" w:fill="006C6F"/>
          </w:tcPr>
          <w:p w14:paraId="3F035236" w14:textId="77777777" w:rsidR="000477A6" w:rsidRDefault="000477A6" w:rsidP="002F195E">
            <w:pPr>
              <w:rPr>
                <w:rFonts w:hint="eastAsia"/>
              </w:rPr>
            </w:pPr>
            <w:r>
              <w:rPr>
                <w:rFonts w:ascii="Aptos" w:hAnsi="Aptos"/>
                <w:b/>
                <w:color w:val="FFFFFF"/>
                <w:sz w:val="17"/>
              </w:rPr>
              <w:t>#</w:t>
            </w:r>
          </w:p>
        </w:tc>
        <w:tc>
          <w:tcPr>
            <w:tcW w:w="3600" w:type="dxa"/>
            <w:shd w:val="clear" w:color="auto" w:fill="006C6F"/>
          </w:tcPr>
          <w:p w14:paraId="7D75BFE0" w14:textId="77777777" w:rsidR="000477A6" w:rsidRDefault="000477A6" w:rsidP="002F195E">
            <w:pPr>
              <w:rPr>
                <w:rFonts w:hint="eastAsia"/>
              </w:rPr>
            </w:pPr>
            <w:r>
              <w:rPr>
                <w:rFonts w:ascii="Aptos" w:hAnsi="Aptos"/>
                <w:b/>
                <w:color w:val="FFFFFF"/>
                <w:sz w:val="17"/>
              </w:rPr>
              <w:t>Requirement</w:t>
            </w:r>
          </w:p>
        </w:tc>
        <w:tc>
          <w:tcPr>
            <w:tcW w:w="6048" w:type="dxa"/>
            <w:shd w:val="clear" w:color="auto" w:fill="006C6F"/>
          </w:tcPr>
          <w:p w14:paraId="294EE18C" w14:textId="77777777" w:rsidR="000477A6" w:rsidRDefault="000477A6" w:rsidP="002F195E">
            <w:pPr>
              <w:rPr>
                <w:rFonts w:hint="eastAsia"/>
              </w:rPr>
            </w:pPr>
            <w:r>
              <w:rPr>
                <w:rFonts w:ascii="Aptos" w:hAnsi="Aptos"/>
                <w:b/>
                <w:color w:val="FFFFFF"/>
                <w:sz w:val="17"/>
              </w:rPr>
              <w:t>Acceptance criteria</w:t>
            </w:r>
          </w:p>
        </w:tc>
      </w:tr>
      <w:tr w:rsidR="000477A6" w14:paraId="18D38729" w14:textId="77777777" w:rsidTr="002F195E">
        <w:trPr>
          <w:jc w:val="center"/>
        </w:trPr>
        <w:tc>
          <w:tcPr>
            <w:tcW w:w="720" w:type="dxa"/>
          </w:tcPr>
          <w:p w14:paraId="03F5A8B9" w14:textId="77777777" w:rsidR="000477A6" w:rsidRDefault="000477A6" w:rsidP="002F195E">
            <w:pPr>
              <w:rPr>
                <w:rFonts w:hint="eastAsia"/>
              </w:rPr>
            </w:pPr>
            <w:r>
              <w:t>1</w:t>
            </w:r>
          </w:p>
        </w:tc>
        <w:tc>
          <w:tcPr>
            <w:tcW w:w="3600" w:type="dxa"/>
          </w:tcPr>
          <w:p w14:paraId="025678E2" w14:textId="77777777" w:rsidR="000477A6" w:rsidRDefault="000477A6" w:rsidP="002F195E">
            <w:pPr>
              <w:rPr>
                <w:rFonts w:hint="eastAsia"/>
              </w:rPr>
            </w:pPr>
            <w:r>
              <w:t>Proxy Framework</w:t>
            </w:r>
          </w:p>
        </w:tc>
        <w:tc>
          <w:tcPr>
            <w:tcW w:w="6048" w:type="dxa"/>
          </w:tcPr>
          <w:p w14:paraId="4A682801" w14:textId="77777777" w:rsidR="000477A6" w:rsidRDefault="000477A6" w:rsidP="002F195E">
            <w:pPr>
              <w:rPr>
                <w:rFonts w:hint="eastAsia"/>
              </w:rPr>
            </w:pPr>
            <w:r>
              <w:t>Create proxy registry, proxy lineage, validation metrics, monitoring, governance status, reapproval workflow, and stress-period evidence. Acceptance: methodology, lineage, test results, and approval status are stored and reportable.</w:t>
            </w:r>
          </w:p>
        </w:tc>
      </w:tr>
      <w:tr w:rsidR="000477A6" w14:paraId="190BD43D" w14:textId="77777777" w:rsidTr="002F195E">
        <w:trPr>
          <w:jc w:val="center"/>
        </w:trPr>
        <w:tc>
          <w:tcPr>
            <w:tcW w:w="720" w:type="dxa"/>
            <w:shd w:val="clear" w:color="auto" w:fill="F2F5F7"/>
          </w:tcPr>
          <w:p w14:paraId="05F4DD61" w14:textId="77777777" w:rsidR="000477A6" w:rsidRDefault="000477A6" w:rsidP="002F195E">
            <w:pPr>
              <w:rPr>
                <w:rFonts w:hint="eastAsia"/>
              </w:rPr>
            </w:pPr>
            <w:r>
              <w:t>2</w:t>
            </w:r>
          </w:p>
        </w:tc>
        <w:tc>
          <w:tcPr>
            <w:tcW w:w="3600" w:type="dxa"/>
            <w:shd w:val="clear" w:color="auto" w:fill="F2F5F7"/>
          </w:tcPr>
          <w:p w14:paraId="1DDD8F88" w14:textId="77777777" w:rsidR="000477A6" w:rsidRDefault="000477A6" w:rsidP="002F195E">
            <w:pPr>
              <w:rPr>
                <w:rFonts w:hint="eastAsia"/>
              </w:rPr>
            </w:pPr>
            <w:r>
              <w:t>History Inventory &amp; Extension Platform</w:t>
            </w:r>
          </w:p>
        </w:tc>
        <w:tc>
          <w:tcPr>
            <w:tcW w:w="6048" w:type="dxa"/>
            <w:shd w:val="clear" w:color="auto" w:fill="F2F5F7"/>
          </w:tcPr>
          <w:p w14:paraId="57D81E36" w14:textId="77777777" w:rsidR="000477A6" w:rsidRDefault="000477A6" w:rsidP="002F195E">
            <w:pPr>
              <w:rPr>
                <w:rFonts w:hint="eastAsia"/>
              </w:rPr>
            </w:pPr>
            <w:r>
              <w:t>Inventory time-series history, detect gaps, extend histories, preserve lineage, support benchmark transition adjustments, and maintain evidence. Acceptance: methodology, lineage, test results, and approval status are stored and reportable.</w:t>
            </w:r>
          </w:p>
        </w:tc>
      </w:tr>
      <w:tr w:rsidR="000477A6" w14:paraId="5AD0DB17" w14:textId="77777777" w:rsidTr="002F195E">
        <w:trPr>
          <w:jc w:val="center"/>
        </w:trPr>
        <w:tc>
          <w:tcPr>
            <w:tcW w:w="720" w:type="dxa"/>
          </w:tcPr>
          <w:p w14:paraId="75D9DABC" w14:textId="77777777" w:rsidR="000477A6" w:rsidRDefault="000477A6" w:rsidP="002F195E">
            <w:pPr>
              <w:rPr>
                <w:rFonts w:hint="eastAsia"/>
              </w:rPr>
            </w:pPr>
            <w:r>
              <w:t>3</w:t>
            </w:r>
          </w:p>
        </w:tc>
        <w:tc>
          <w:tcPr>
            <w:tcW w:w="3600" w:type="dxa"/>
          </w:tcPr>
          <w:p w14:paraId="41A94F70" w14:textId="77777777" w:rsidR="000477A6" w:rsidRDefault="000477A6" w:rsidP="002F195E">
            <w:pPr>
              <w:rPr>
                <w:rFonts w:hint="eastAsia"/>
              </w:rPr>
            </w:pPr>
            <w:r>
              <w:t>Data Quality Remediation Framework</w:t>
            </w:r>
          </w:p>
        </w:tc>
        <w:tc>
          <w:tcPr>
            <w:tcW w:w="6048" w:type="dxa"/>
          </w:tcPr>
          <w:p w14:paraId="17596052" w14:textId="77777777" w:rsidR="000477A6" w:rsidRDefault="000477A6" w:rsidP="002F195E">
            <w:pPr>
              <w:rPr>
                <w:rFonts w:hint="eastAsia"/>
              </w:rPr>
            </w:pPr>
            <w:r>
              <w:t>Implement governed fixes, transformations, controls, stale/missing/outlier checks, issue aging, remediation approval, and audit trail. Acceptance: methodology, lineage, test results, and approval status are stored and reportable.</w:t>
            </w:r>
          </w:p>
        </w:tc>
      </w:tr>
      <w:tr w:rsidR="000477A6" w14:paraId="3826E983" w14:textId="77777777" w:rsidTr="002F195E">
        <w:trPr>
          <w:jc w:val="center"/>
        </w:trPr>
        <w:tc>
          <w:tcPr>
            <w:tcW w:w="720" w:type="dxa"/>
            <w:shd w:val="clear" w:color="auto" w:fill="F2F5F7"/>
          </w:tcPr>
          <w:p w14:paraId="1971EF21" w14:textId="77777777" w:rsidR="000477A6" w:rsidRDefault="000477A6" w:rsidP="002F195E">
            <w:pPr>
              <w:rPr>
                <w:rFonts w:hint="eastAsia"/>
              </w:rPr>
            </w:pPr>
            <w:r>
              <w:t>4</w:t>
            </w:r>
          </w:p>
        </w:tc>
        <w:tc>
          <w:tcPr>
            <w:tcW w:w="3600" w:type="dxa"/>
            <w:shd w:val="clear" w:color="auto" w:fill="F2F5F7"/>
          </w:tcPr>
          <w:p w14:paraId="42EF7C6F" w14:textId="77777777" w:rsidR="000477A6" w:rsidRDefault="000477A6" w:rsidP="002F195E">
            <w:pPr>
              <w:rPr>
                <w:rFonts w:hint="eastAsia"/>
              </w:rPr>
            </w:pPr>
            <w:r>
              <w:t>Carry Adjustment Module</w:t>
            </w:r>
          </w:p>
        </w:tc>
        <w:tc>
          <w:tcPr>
            <w:tcW w:w="6048" w:type="dxa"/>
            <w:shd w:val="clear" w:color="auto" w:fill="F2F5F7"/>
          </w:tcPr>
          <w:p w14:paraId="7885980B" w14:textId="77777777" w:rsidR="000477A6" w:rsidRDefault="000477A6" w:rsidP="002F195E">
            <w:pPr>
              <w:rPr>
                <w:rFonts w:hint="eastAsia"/>
              </w:rPr>
            </w:pPr>
            <w:r>
              <w:t>Support clean P&amp;L alignment where required by separating market moves from carry/roll-down/time effects. Acceptance: methodology, lineage, test results, and approval status are stored and reportable.</w:t>
            </w:r>
          </w:p>
        </w:tc>
      </w:tr>
      <w:tr w:rsidR="000477A6" w14:paraId="32CDE489" w14:textId="77777777" w:rsidTr="002F195E">
        <w:trPr>
          <w:jc w:val="center"/>
        </w:trPr>
        <w:tc>
          <w:tcPr>
            <w:tcW w:w="720" w:type="dxa"/>
          </w:tcPr>
          <w:p w14:paraId="47D928D2" w14:textId="77777777" w:rsidR="000477A6" w:rsidRDefault="000477A6" w:rsidP="002F195E">
            <w:pPr>
              <w:rPr>
                <w:rFonts w:hint="eastAsia"/>
              </w:rPr>
            </w:pPr>
            <w:r>
              <w:t>5</w:t>
            </w:r>
          </w:p>
        </w:tc>
        <w:tc>
          <w:tcPr>
            <w:tcW w:w="3600" w:type="dxa"/>
          </w:tcPr>
          <w:p w14:paraId="70FFDF25" w14:textId="77777777" w:rsidR="000477A6" w:rsidRDefault="000477A6" w:rsidP="002F195E">
            <w:pPr>
              <w:rPr>
                <w:rFonts w:hint="eastAsia"/>
              </w:rPr>
            </w:pPr>
            <w:r>
              <w:t>Historical Shock Adjustment Module</w:t>
            </w:r>
          </w:p>
        </w:tc>
        <w:tc>
          <w:tcPr>
            <w:tcW w:w="6048" w:type="dxa"/>
          </w:tcPr>
          <w:p w14:paraId="23208CFF" w14:textId="77777777" w:rsidR="000477A6" w:rsidRDefault="000477A6" w:rsidP="002F195E">
            <w:pPr>
              <w:rPr>
                <w:rFonts w:hint="eastAsia"/>
              </w:rPr>
            </w:pPr>
            <w:r>
              <w:t>Adjust, reconstruct, or govern shocks where historical series are proxied, transitioned, stale, or structurally changed. Acceptance: methodology, lineage, test results, and approval status are stored and reportable.</w:t>
            </w:r>
          </w:p>
        </w:tc>
      </w:tr>
      <w:tr w:rsidR="000477A6" w14:paraId="723E472F" w14:textId="77777777" w:rsidTr="002F195E">
        <w:trPr>
          <w:jc w:val="center"/>
        </w:trPr>
        <w:tc>
          <w:tcPr>
            <w:tcW w:w="720" w:type="dxa"/>
            <w:shd w:val="clear" w:color="auto" w:fill="F2F5F7"/>
          </w:tcPr>
          <w:p w14:paraId="1FC523B4" w14:textId="77777777" w:rsidR="000477A6" w:rsidRDefault="000477A6" w:rsidP="002F195E">
            <w:pPr>
              <w:rPr>
                <w:rFonts w:hint="eastAsia"/>
              </w:rPr>
            </w:pPr>
            <w:r>
              <w:t>6</w:t>
            </w:r>
          </w:p>
        </w:tc>
        <w:tc>
          <w:tcPr>
            <w:tcW w:w="3600" w:type="dxa"/>
            <w:shd w:val="clear" w:color="auto" w:fill="F2F5F7"/>
          </w:tcPr>
          <w:p w14:paraId="68F77240" w14:textId="77777777" w:rsidR="000477A6" w:rsidRDefault="000477A6" w:rsidP="002F195E">
            <w:pPr>
              <w:rPr>
                <w:rFonts w:hint="eastAsia"/>
              </w:rPr>
            </w:pPr>
            <w:r>
              <w:t>Derived RF Time Series Framework</w:t>
            </w:r>
          </w:p>
        </w:tc>
        <w:tc>
          <w:tcPr>
            <w:tcW w:w="6048" w:type="dxa"/>
            <w:shd w:val="clear" w:color="auto" w:fill="F2F5F7"/>
          </w:tcPr>
          <w:p w14:paraId="77E6F47D" w14:textId="77777777" w:rsidR="000477A6" w:rsidRDefault="000477A6" w:rsidP="002F195E">
            <w:pPr>
              <w:rPr>
                <w:rFonts w:hint="eastAsia"/>
              </w:rPr>
            </w:pPr>
            <w:r>
              <w:t>Create governed derived risk-factor series with input lineage, method, quality flags, approval status, and effective dating. Acceptance: methodology, lineage, test results, and approval status are stored and reportable.</w:t>
            </w:r>
          </w:p>
        </w:tc>
      </w:tr>
      <w:tr w:rsidR="000477A6" w14:paraId="789900AC" w14:textId="77777777" w:rsidTr="002F195E">
        <w:trPr>
          <w:jc w:val="center"/>
        </w:trPr>
        <w:tc>
          <w:tcPr>
            <w:tcW w:w="720" w:type="dxa"/>
          </w:tcPr>
          <w:p w14:paraId="5A3DC5F1" w14:textId="77777777" w:rsidR="000477A6" w:rsidRDefault="000477A6" w:rsidP="002F195E">
            <w:pPr>
              <w:rPr>
                <w:rFonts w:hint="eastAsia"/>
              </w:rPr>
            </w:pPr>
            <w:r>
              <w:t>7</w:t>
            </w:r>
          </w:p>
        </w:tc>
        <w:tc>
          <w:tcPr>
            <w:tcW w:w="3600" w:type="dxa"/>
          </w:tcPr>
          <w:p w14:paraId="0EDF8FBC" w14:textId="77777777" w:rsidR="000477A6" w:rsidRDefault="000477A6" w:rsidP="002F195E">
            <w:pPr>
              <w:rPr>
                <w:rFonts w:hint="eastAsia"/>
              </w:rPr>
            </w:pPr>
            <w:r>
              <w:t>Idiosyncratic Risk Factor Enhancements</w:t>
            </w:r>
          </w:p>
        </w:tc>
        <w:tc>
          <w:tcPr>
            <w:tcW w:w="6048" w:type="dxa"/>
          </w:tcPr>
          <w:p w14:paraId="3199E954" w14:textId="77777777" w:rsidR="000477A6" w:rsidRDefault="000477A6" w:rsidP="002F195E">
            <w:pPr>
              <w:rPr>
                <w:rFonts w:hint="eastAsia"/>
              </w:rPr>
            </w:pPr>
            <w:r>
              <w:t>Improve granularity and name-specific risk capture for credit/equity/issuer-sensitive risk factors and reduce masking by broad buckets. Acceptance: methodology, lineage, test results, and approval status are stored and reportable.</w:t>
            </w:r>
          </w:p>
        </w:tc>
      </w:tr>
      <w:tr w:rsidR="000477A6" w14:paraId="44EAFCEE" w14:textId="77777777" w:rsidTr="002F195E">
        <w:trPr>
          <w:jc w:val="center"/>
        </w:trPr>
        <w:tc>
          <w:tcPr>
            <w:tcW w:w="720" w:type="dxa"/>
            <w:shd w:val="clear" w:color="auto" w:fill="F2F5F7"/>
          </w:tcPr>
          <w:p w14:paraId="20BBB96D" w14:textId="77777777" w:rsidR="000477A6" w:rsidRDefault="000477A6" w:rsidP="002F195E">
            <w:pPr>
              <w:rPr>
                <w:rFonts w:hint="eastAsia"/>
              </w:rPr>
            </w:pPr>
            <w:r>
              <w:t>8</w:t>
            </w:r>
          </w:p>
        </w:tc>
        <w:tc>
          <w:tcPr>
            <w:tcW w:w="3600" w:type="dxa"/>
            <w:shd w:val="clear" w:color="auto" w:fill="F2F5F7"/>
          </w:tcPr>
          <w:p w14:paraId="5CC556A6" w14:textId="77777777" w:rsidR="000477A6" w:rsidRDefault="000477A6" w:rsidP="002F195E">
            <w:pPr>
              <w:rPr>
                <w:rFonts w:hint="eastAsia"/>
              </w:rPr>
            </w:pPr>
            <w:r>
              <w:t>FX Vol Alignment</w:t>
            </w:r>
          </w:p>
        </w:tc>
        <w:tc>
          <w:tcPr>
            <w:tcW w:w="6048" w:type="dxa"/>
            <w:shd w:val="clear" w:color="auto" w:fill="F2F5F7"/>
          </w:tcPr>
          <w:p w14:paraId="199A0628" w14:textId="77777777" w:rsidR="000477A6" w:rsidRDefault="000477A6" w:rsidP="002F195E">
            <w:pPr>
              <w:rPr>
                <w:rFonts w:hint="eastAsia"/>
              </w:rPr>
            </w:pPr>
            <w:r>
              <w:t>Close alignment gaps across FX vol implementations, calibration inputs, surfaces, tenors, and risk-factor representation. Acceptance: methodology, lineage, test results, and approval status are stored and reportable.</w:t>
            </w:r>
          </w:p>
        </w:tc>
      </w:tr>
    </w:tbl>
    <w:p w14:paraId="1AFFCF2D" w14:textId="77777777" w:rsidR="000477A6" w:rsidRDefault="000477A6"/>
    <w:sectPr w:rsidR="000477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90D6FB7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0E678B5"/>
    <w:multiLevelType w:val="multilevel"/>
    <w:tmpl w:val="07349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A435A4"/>
    <w:multiLevelType w:val="multilevel"/>
    <w:tmpl w:val="3F0C3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473B5C"/>
    <w:multiLevelType w:val="multilevel"/>
    <w:tmpl w:val="D6C84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5B1D44"/>
    <w:multiLevelType w:val="multilevel"/>
    <w:tmpl w:val="D6EC9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352B93"/>
    <w:multiLevelType w:val="multilevel"/>
    <w:tmpl w:val="D5AE1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901829"/>
    <w:multiLevelType w:val="multilevel"/>
    <w:tmpl w:val="314ED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9631C6"/>
    <w:multiLevelType w:val="multilevel"/>
    <w:tmpl w:val="8C563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4E4239"/>
    <w:multiLevelType w:val="multilevel"/>
    <w:tmpl w:val="88C0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512DE6"/>
    <w:multiLevelType w:val="multilevel"/>
    <w:tmpl w:val="FE3C0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6E75C0"/>
    <w:multiLevelType w:val="multilevel"/>
    <w:tmpl w:val="3D126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D349B2"/>
    <w:multiLevelType w:val="multilevel"/>
    <w:tmpl w:val="FC587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3BF58E3"/>
    <w:multiLevelType w:val="multilevel"/>
    <w:tmpl w:val="8F3A0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90E7D58"/>
    <w:multiLevelType w:val="multilevel"/>
    <w:tmpl w:val="EBC81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B155D13"/>
    <w:multiLevelType w:val="multilevel"/>
    <w:tmpl w:val="D4D82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CD45063"/>
    <w:multiLevelType w:val="multilevel"/>
    <w:tmpl w:val="478C1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FA566B2"/>
    <w:multiLevelType w:val="multilevel"/>
    <w:tmpl w:val="16A87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58C5343"/>
    <w:multiLevelType w:val="multilevel"/>
    <w:tmpl w:val="F9525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C452548"/>
    <w:multiLevelType w:val="multilevel"/>
    <w:tmpl w:val="F932A0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21240496">
    <w:abstractNumId w:val="12"/>
  </w:num>
  <w:num w:numId="2" w16cid:durableId="1095592098">
    <w:abstractNumId w:val="8"/>
  </w:num>
  <w:num w:numId="3" w16cid:durableId="1150485021">
    <w:abstractNumId w:val="15"/>
  </w:num>
  <w:num w:numId="4" w16cid:durableId="2105571430">
    <w:abstractNumId w:val="7"/>
  </w:num>
  <w:num w:numId="5" w16cid:durableId="1958218659">
    <w:abstractNumId w:val="5"/>
  </w:num>
  <w:num w:numId="6" w16cid:durableId="1435903554">
    <w:abstractNumId w:val="4"/>
  </w:num>
  <w:num w:numId="7" w16cid:durableId="1047796815">
    <w:abstractNumId w:val="13"/>
  </w:num>
  <w:num w:numId="8" w16cid:durableId="304967998">
    <w:abstractNumId w:val="6"/>
  </w:num>
  <w:num w:numId="9" w16cid:durableId="534774192">
    <w:abstractNumId w:val="3"/>
  </w:num>
  <w:num w:numId="10" w16cid:durableId="1811442024">
    <w:abstractNumId w:val="14"/>
  </w:num>
  <w:num w:numId="11" w16cid:durableId="1095132452">
    <w:abstractNumId w:val="2"/>
  </w:num>
  <w:num w:numId="12" w16cid:durableId="1649555915">
    <w:abstractNumId w:val="11"/>
  </w:num>
  <w:num w:numId="13" w16cid:durableId="77950726">
    <w:abstractNumId w:val="10"/>
  </w:num>
  <w:num w:numId="14" w16cid:durableId="1470510256">
    <w:abstractNumId w:val="17"/>
  </w:num>
  <w:num w:numId="15" w16cid:durableId="1530027616">
    <w:abstractNumId w:val="16"/>
  </w:num>
  <w:num w:numId="16" w16cid:durableId="655034521">
    <w:abstractNumId w:val="9"/>
  </w:num>
  <w:num w:numId="17" w16cid:durableId="570315794">
    <w:abstractNumId w:val="1"/>
  </w:num>
  <w:num w:numId="18" w16cid:durableId="566495767">
    <w:abstractNumId w:val="18"/>
  </w:num>
  <w:num w:numId="19" w16cid:durableId="21406061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6FF4"/>
    <w:rsid w:val="00020A5E"/>
    <w:rsid w:val="000477A6"/>
    <w:rsid w:val="00057085"/>
    <w:rsid w:val="000A7A72"/>
    <w:rsid w:val="000F1B26"/>
    <w:rsid w:val="00117A5C"/>
    <w:rsid w:val="00243249"/>
    <w:rsid w:val="00296D28"/>
    <w:rsid w:val="00296FF4"/>
    <w:rsid w:val="004F2E5C"/>
    <w:rsid w:val="00500606"/>
    <w:rsid w:val="00536666"/>
    <w:rsid w:val="005371DC"/>
    <w:rsid w:val="0054437F"/>
    <w:rsid w:val="00591A7E"/>
    <w:rsid w:val="005D7291"/>
    <w:rsid w:val="00732894"/>
    <w:rsid w:val="00833614"/>
    <w:rsid w:val="00873DAF"/>
    <w:rsid w:val="008A4011"/>
    <w:rsid w:val="009F07AF"/>
    <w:rsid w:val="00A9137E"/>
    <w:rsid w:val="00D120AD"/>
    <w:rsid w:val="00DE4446"/>
    <w:rsid w:val="00E32B38"/>
    <w:rsid w:val="00EF09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2"/>
    <o:shapelayout v:ext="edit">
      <o:idmap v:ext="edit" data="1"/>
    </o:shapelayout>
  </w:shapeDefaults>
  <w:decimalSymbol w:val="."/>
  <w:listSeparator w:val=","/>
  <w14:docId w14:val="3D286123"/>
  <w15:chartTrackingRefBased/>
  <w15:docId w15:val="{DA9F0B37-46F3-4C2B-95BD-BF94955756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6F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96F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6F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6F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6F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6F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6F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6F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6F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6F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96F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6F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6FF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6FF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6F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6F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6F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6F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6F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6F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6F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6F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6F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6F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6F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6FF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6F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6FF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6FF4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96F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296FF4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296FF4"/>
    <w:rPr>
      <w:color w:val="0000FF"/>
      <w:u w:val="single"/>
    </w:rPr>
  </w:style>
  <w:style w:type="paragraph" w:styleId="ListBullet">
    <w:name w:val="List Bullet"/>
    <w:basedOn w:val="Normal"/>
    <w:uiPriority w:val="99"/>
    <w:unhideWhenUsed/>
    <w:rsid w:val="000477A6"/>
    <w:pPr>
      <w:numPr>
        <w:numId w:val="19"/>
      </w:numPr>
      <w:tabs>
        <w:tab w:val="clear" w:pos="360"/>
      </w:tabs>
      <w:spacing w:after="200" w:line="276" w:lineRule="auto"/>
      <w:ind w:left="0" w:firstLine="0"/>
      <w:contextualSpacing/>
    </w:pPr>
    <w:rPr>
      <w:rFonts w:ascii="Aptos" w:eastAsiaTheme="minorEastAsia" w:hAnsi="Aptos"/>
      <w:kern w:val="0"/>
      <w:sz w:val="19"/>
      <w:szCs w:val="22"/>
      <w14:ligatures w14:val="none"/>
    </w:rPr>
  </w:style>
  <w:style w:type="table" w:styleId="TableGrid">
    <w:name w:val="Table Grid"/>
    <w:basedOn w:val="TableNormal"/>
    <w:uiPriority w:val="59"/>
    <w:rsid w:val="000477A6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</TotalTime>
  <Pages>9</Pages>
  <Words>2096</Words>
  <Characters>11953</Characters>
  <Application>Microsoft Office Word</Application>
  <DocSecurity>0</DocSecurity>
  <Lines>99</Lines>
  <Paragraphs>28</Paragraphs>
  <ScaleCrop>false</ScaleCrop>
  <Company/>
  <LinksUpToDate>false</LinksUpToDate>
  <CharactersWithSpaces>14021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CHOUKRI ABDELILAH</dc:creator>
  <cp:keywords/>
  <dc:description/>
  <cp:lastModifiedBy>CHOUKRI ABDELILAH</cp:lastModifiedBy>
  <cp:revision>24</cp:revision>
  <dcterms:created xsi:type="dcterms:W3CDTF">2026-05-26T14:56:00Z</dcterms:created>
  <dcterms:modified xsi:type="dcterms:W3CDTF">2026-05-27T10:30:00Z</dcterms:modified>
</cp:coreProperties>
</file>