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D984A" w14:textId="77777777" w:rsidR="00274C8B" w:rsidRDefault="00274C8B" w:rsidP="00274C8B"/>
    <w:p w14:paraId="19584413" w14:textId="77777777" w:rsidR="00274C8B" w:rsidRDefault="00274C8B" w:rsidP="00274C8B"/>
    <w:p w14:paraId="08A30E6C" w14:textId="7ADE76F7" w:rsidR="00274C8B" w:rsidRDefault="00274C8B" w:rsidP="00274C8B">
      <w:r>
        <w:t xml:space="preserve">write me very short, precise email, executive summary email/power point </w:t>
      </w:r>
      <w:proofErr w:type="gramStart"/>
      <w:r>
        <w:t>style  that</w:t>
      </w:r>
      <w:proofErr w:type="gramEnd"/>
      <w:r>
        <w:t xml:space="preserve"> responds to A and B then highlight the below point </w:t>
      </w:r>
    </w:p>
    <w:p w14:paraId="726CE91F" w14:textId="77777777" w:rsidR="00274C8B" w:rsidRDefault="00274C8B" w:rsidP="00274C8B">
      <w:r>
        <w:t xml:space="preserve">In the attached link, Fed looks forward rate as single dimension. </w:t>
      </w:r>
    </w:p>
    <w:p w14:paraId="57384AB0" w14:textId="77777777" w:rsidR="00274C8B" w:rsidRDefault="00274C8B" w:rsidP="00274C8B">
      <w:r>
        <w:t xml:space="preserve">The Fed acknowledges that forward rate curve is expressed as two coordinates n-by-m (m-year beginning n years) but they treat it as single dimension curve. </w:t>
      </w:r>
    </w:p>
    <w:p w14:paraId="5EFA6C50" w14:textId="77777777" w:rsidR="00274C8B" w:rsidRDefault="00274C8B" w:rsidP="00274C8B"/>
    <w:p w14:paraId="481A215D" w14:textId="77777777" w:rsidR="00274C8B" w:rsidRDefault="00274C8B" w:rsidP="00274C8B">
      <w:r>
        <w:t xml:space="preserve">######### Supporting Fed statement: </w:t>
      </w:r>
    </w:p>
    <w:p w14:paraId="2D7EC0A2" w14:textId="77777777" w:rsidR="00274C8B" w:rsidRDefault="00274C8B" w:rsidP="00274C8B">
      <w:r>
        <w:t>https://www.federalreserve.gov/pubs/feds/2006/200628/index.html</w:t>
      </w:r>
    </w:p>
    <w:p w14:paraId="72B0C424" w14:textId="77777777" w:rsidR="00274C8B" w:rsidRDefault="00274C8B" w:rsidP="00274C8B"/>
    <w:p w14:paraId="02618940" w14:textId="77777777" w:rsidR="00274C8B" w:rsidRDefault="00274C8B" w:rsidP="00274C8B">
      <w:r>
        <w:t xml:space="preserve">1. they stated "By using forward rates, we can summarize the yield curve in some potentially more informative ways. For example, the ten-year Treasury yield can be decomposed into one-year forward rates over that ten-year horizon." </w:t>
      </w:r>
    </w:p>
    <w:p w14:paraId="72DB0C93" w14:textId="77777777" w:rsidR="00274C8B" w:rsidRDefault="00274C8B" w:rsidP="00274C8B"/>
    <w:p w14:paraId="587E69AD" w14:textId="77777777" w:rsidR="00274C8B" w:rsidRDefault="00274C8B" w:rsidP="00274C8B">
      <w:r>
        <w:t>2. The resulting yield curve can be expressed in terms of zero-coupon yields, par yields, instantaneous forward rates, or n-by-</w:t>
      </w:r>
      <w:proofErr w:type="spellStart"/>
      <w:r>
        <w:t>mforward</w:t>
      </w:r>
      <w:proofErr w:type="spellEnd"/>
      <w:r>
        <w:t xml:space="preserve"> rates (that is, the m-year rate beginning n years ahead) for any n and m.</w:t>
      </w:r>
    </w:p>
    <w:p w14:paraId="04A8EF96" w14:textId="77777777" w:rsidR="00274C8B" w:rsidRDefault="00274C8B" w:rsidP="00274C8B"/>
    <w:p w14:paraId="63140C60" w14:textId="4386E17C" w:rsidR="00274C8B" w:rsidRDefault="00274C8B" w:rsidP="00274C8B">
      <w:r>
        <w:t>3.One can think of a term investment today as a string of forward rate agreements over the horizon of the investment, and the yield therefore has to equal the average of those forward rates</w:t>
      </w:r>
    </w:p>
    <w:p w14:paraId="132BA096" w14:textId="77777777" w:rsidR="00274C8B" w:rsidRDefault="00274C8B" w:rsidP="00274C8B">
      <w:r>
        <w:t xml:space="preserve">-- the way they bring example </w:t>
      </w:r>
      <w:proofErr w:type="gramStart"/>
      <w:r>
        <w:t>for ,they</w:t>
      </w:r>
      <w:proofErr w:type="gramEnd"/>
      <w:r>
        <w:t xml:space="preserve"> look at it as "That's an ordered curve, not a two-dimensional surface." </w:t>
      </w:r>
    </w:p>
    <w:p w14:paraId="0BBC4894" w14:textId="77777777" w:rsidR="00274C8B" w:rsidRDefault="00274C8B" w:rsidP="00274C8B">
      <w:r>
        <w:t xml:space="preserve">           </w:t>
      </w:r>
      <w:proofErr w:type="gramStart"/>
      <w:r>
        <w:t>f(</w:t>
      </w:r>
      <w:proofErr w:type="gramEnd"/>
      <w:r>
        <w:t>n, n+</w:t>
      </w:r>
      <w:proofErr w:type="gramStart"/>
      <w:r>
        <w:t>1 )</w:t>
      </w:r>
      <w:proofErr w:type="gramEnd"/>
      <w:r>
        <w:t xml:space="preserve">  </w:t>
      </w:r>
    </w:p>
    <w:p w14:paraId="5138FE14" w14:textId="77777777" w:rsidR="00274C8B" w:rsidRDefault="00274C8B" w:rsidP="00274C8B">
      <w:proofErr w:type="gramStart"/>
      <w:r>
        <w:t>par( 10</w:t>
      </w:r>
      <w:proofErr w:type="gramEnd"/>
      <w:r>
        <w:t xml:space="preserve">Y) = average of </w:t>
      </w:r>
      <w:proofErr w:type="gramStart"/>
      <w:r>
        <w:t>f(</w:t>
      </w:r>
      <w:proofErr w:type="gramEnd"/>
      <w:r>
        <w:t xml:space="preserve">1,2), </w:t>
      </w:r>
      <w:proofErr w:type="gramStart"/>
      <w:r>
        <w:t>f(</w:t>
      </w:r>
      <w:proofErr w:type="gramEnd"/>
      <w:r>
        <w:t xml:space="preserve">2,3), </w:t>
      </w:r>
      <w:proofErr w:type="gramStart"/>
      <w:r>
        <w:t>f(</w:t>
      </w:r>
      <w:proofErr w:type="gramEnd"/>
      <w:r>
        <w:t xml:space="preserve">3,4), ...f(9y,10y) </w:t>
      </w:r>
    </w:p>
    <w:p w14:paraId="12781478" w14:textId="77777777" w:rsidR="00274C8B" w:rsidRDefault="00274C8B" w:rsidP="00274C8B"/>
    <w:p w14:paraId="23B5F2D9" w14:textId="77777777" w:rsidR="00274C8B" w:rsidRDefault="00274C8B" w:rsidP="00274C8B">
      <w:r>
        <w:t>•</w:t>
      </w:r>
      <w:r>
        <w:tab/>
        <w:t xml:space="preserve">The object is 2D. The forward rate is </w:t>
      </w:r>
      <w:proofErr w:type="gramStart"/>
      <w:r>
        <w:t>f(</w:t>
      </w:r>
      <w:proofErr w:type="gramEnd"/>
      <w:r>
        <w:t xml:space="preserve">n, m), or equivalently </w:t>
      </w:r>
      <w:proofErr w:type="gramStart"/>
      <w:r>
        <w:t>f(</w:t>
      </w:r>
      <w:proofErr w:type="gramEnd"/>
      <w:r>
        <w:t>start, end).</w:t>
      </w:r>
    </w:p>
    <w:p w14:paraId="16322B9A" w14:textId="77777777" w:rsidR="00274C8B" w:rsidRDefault="00274C8B" w:rsidP="00274C8B">
      <w:r>
        <w:t xml:space="preserve">   </w:t>
      </w:r>
    </w:p>
    <w:p w14:paraId="1DBF7256" w14:textId="77777777" w:rsidR="00274C8B" w:rsidRDefault="00274C8B" w:rsidP="00274C8B">
      <w:r>
        <w:lastRenderedPageBreak/>
        <w:tab/>
        <w:t xml:space="preserve">  </w:t>
      </w:r>
    </w:p>
    <w:p w14:paraId="54921A58" w14:textId="77777777" w:rsidR="00274C8B" w:rsidRDefault="00274C8B" w:rsidP="00274C8B">
      <w:r>
        <w:t>•</w:t>
      </w:r>
      <w:r>
        <w:tab/>
        <w:t xml:space="preserve">The curve is a 1D slice of it.      could be </w:t>
      </w:r>
      <w:proofErr w:type="gramStart"/>
      <w:r>
        <w:t>f(</w:t>
      </w:r>
      <w:proofErr w:type="gramEnd"/>
      <w:r>
        <w:t>n, 0</w:t>
      </w:r>
      <w:proofErr w:type="gramStart"/>
      <w:r>
        <w:t>)  or</w:t>
      </w:r>
      <w:proofErr w:type="gramEnd"/>
      <w:r>
        <w:t xml:space="preserve"> </w:t>
      </w:r>
      <w:proofErr w:type="gramStart"/>
      <w:r>
        <w:t>f(</w:t>
      </w:r>
      <w:proofErr w:type="gramEnd"/>
      <w:r>
        <w:t>n, n+</w:t>
      </w:r>
      <w:proofErr w:type="gramStart"/>
      <w:r>
        <w:t>1 )</w:t>
      </w:r>
      <w:proofErr w:type="gramEnd"/>
      <w:r>
        <w:t xml:space="preserve"> --&gt; only N varies </w:t>
      </w:r>
    </w:p>
    <w:p w14:paraId="0409784A" w14:textId="28852059" w:rsidR="00274C8B" w:rsidRDefault="00274C8B" w:rsidP="00274C8B">
      <w:r>
        <w:t xml:space="preserve">It is either the instantaneous curve (m→0, as in the Fed's SVENF series) </w:t>
      </w:r>
    </w:p>
    <w:p w14:paraId="7A586BF2" w14:textId="1636C90E" w:rsidR="00274C8B" w:rsidRDefault="00274C8B" w:rsidP="00274C8B">
      <w:r>
        <w:t xml:space="preserve">a fixed-tenor curve (m fixed, e.g. 1y forwards, </w:t>
      </w:r>
    </w:p>
    <w:p w14:paraId="77B0A543" w14:textId="7F412FCE" w:rsidR="00274C8B" w:rsidRDefault="00274C8B" w:rsidP="00274C8B">
      <w:r>
        <w:t xml:space="preserve">                   </w:t>
      </w:r>
    </w:p>
    <w:p w14:paraId="4C59F985" w14:textId="02D3E933" w:rsidR="00274C8B" w:rsidRDefault="00274C8B" w:rsidP="00274C8B">
      <w:r>
        <w:t>But when they draw "the forward curve," they fix one index and plot it against a single maturity axis, as a 1D curve (they use instantaneous forward rates</w:t>
      </w:r>
      <w:proofErr w:type="gramStart"/>
      <w:r>
        <w:t>) .</w:t>
      </w:r>
      <w:proofErr w:type="gramEnd"/>
      <w:r>
        <w:t xml:space="preserve"> They then compare it directly with the zero/spot and par curves on the same axis</w:t>
      </w:r>
    </w:p>
    <w:p w14:paraId="32C63F68" w14:textId="77777777" w:rsidR="00274C8B" w:rsidRDefault="00274C8B" w:rsidP="00274C8B">
      <w:r>
        <w:t>###########</w:t>
      </w:r>
    </w:p>
    <w:p w14:paraId="7A7B3552" w14:textId="77777777" w:rsidR="00274C8B" w:rsidRDefault="00274C8B" w:rsidP="00274C8B">
      <w:r>
        <w:t xml:space="preserve">in the NPR </w:t>
      </w:r>
      <w:proofErr w:type="gramStart"/>
      <w:r>
        <w:t>rule,  The</w:t>
      </w:r>
      <w:proofErr w:type="gramEnd"/>
      <w:r>
        <w:t xml:space="preserve"> 2026 Fed proposal says banks should group RFET risk factors at the “curve or surface level.” and look at </w:t>
      </w:r>
      <w:proofErr w:type="spellStart"/>
      <w:r>
        <w:t>forwarte</w:t>
      </w:r>
      <w:proofErr w:type="spellEnd"/>
      <w:r>
        <w:t xml:space="preserve"> rate as curve</w:t>
      </w:r>
    </w:p>
    <w:p w14:paraId="63B98200" w14:textId="77777777" w:rsidR="00274C8B" w:rsidRDefault="00274C8B" w:rsidP="00274C8B">
      <w:r>
        <w:t>https://www.bis.org/committees/bcbs/basel-framework/standard/mar/31/inforce/2023-01-01/published/2020-06-05</w:t>
      </w:r>
    </w:p>
    <w:p w14:paraId="5EBD138A" w14:textId="77777777" w:rsidR="00274C8B" w:rsidRDefault="00274C8B" w:rsidP="00274C8B"/>
    <w:p w14:paraId="16A3714C" w14:textId="77777777" w:rsidR="00274C8B" w:rsidRDefault="00274C8B" w:rsidP="00274C8B">
      <w:r>
        <w:t xml:space="preserve">in the </w:t>
      </w:r>
      <w:proofErr w:type="spellStart"/>
      <w:r>
        <w:t>basel</w:t>
      </w:r>
      <w:proofErr w:type="spellEnd"/>
      <w:r>
        <w:t xml:space="preserve"> 3.0</w:t>
      </w:r>
      <w:proofErr w:type="gramStart"/>
      <w:r>
        <w:t>,  they</w:t>
      </w:r>
      <w:proofErr w:type="gramEnd"/>
      <w:r>
        <w:t xml:space="preserve"> stated </w:t>
      </w:r>
    </w:p>
    <w:p w14:paraId="173E341F" w14:textId="77777777" w:rsidR="00274C8B" w:rsidRDefault="00274C8B" w:rsidP="00274C8B">
      <w:r>
        <w:t xml:space="preserve">The trading desk risk management model must model the yield </w:t>
      </w:r>
      <w:proofErr w:type="gramStart"/>
      <w:r>
        <w:t>curve  using</w:t>
      </w:r>
      <w:proofErr w:type="gramEnd"/>
      <w:r>
        <w:t xml:space="preserve"> one of a number of generally accepted approaches (</w:t>
      </w:r>
      <w:proofErr w:type="spellStart"/>
      <w:r>
        <w:t>eg</w:t>
      </w:r>
      <w:proofErr w:type="spellEnd"/>
      <w:r>
        <w:t xml:space="preserve"> estimating forward </w:t>
      </w:r>
      <w:proofErr w:type="gramStart"/>
      <w:r>
        <w:t>rates  of</w:t>
      </w:r>
      <w:proofErr w:type="gramEnd"/>
      <w:r>
        <w:t xml:space="preserve"> </w:t>
      </w:r>
      <w:proofErr w:type="gramStart"/>
      <w:r>
        <w:t>zero coupon</w:t>
      </w:r>
      <w:proofErr w:type="gramEnd"/>
      <w:r>
        <w:t xml:space="preserve"> yields).</w:t>
      </w:r>
    </w:p>
    <w:p w14:paraId="486255FD" w14:textId="77777777" w:rsidR="00274C8B" w:rsidRDefault="00274C8B" w:rsidP="00274C8B">
      <w:r>
        <w:t xml:space="preserve">The yield curve must be divided into maturity segments in order to capture variation in the volatility of rates along the yield curve    </w:t>
      </w:r>
    </w:p>
    <w:p w14:paraId="7F89A4BF" w14:textId="77777777" w:rsidR="00274C8B" w:rsidRDefault="00274C8B" w:rsidP="00274C8B"/>
    <w:p w14:paraId="5E822B6C" w14:textId="77777777" w:rsidR="00274C8B" w:rsidRDefault="00274C8B" w:rsidP="00274C8B">
      <w:r>
        <w:t xml:space="preserve">###### for CFA, they look at forward rate as single dimension </w:t>
      </w:r>
    </w:p>
    <w:p w14:paraId="42C8A7C6" w14:textId="7AF3097F" w:rsidR="00274C8B" w:rsidRDefault="00274C8B" w:rsidP="00274C8B">
      <w:r>
        <w:t>Since par and forward rates can be derived from spot rates, the shape of the spot curve is closely related to the shape of the par and forward curves.</w:t>
      </w:r>
    </w:p>
    <w:p w14:paraId="7589E33A" w14:textId="77777777" w:rsidR="00274C8B" w:rsidRDefault="00274C8B" w:rsidP="00274C8B"/>
    <w:p w14:paraId="45DF1B29" w14:textId="77777777" w:rsidR="00274C8B" w:rsidRDefault="00274C8B" w:rsidP="00274C8B">
      <w:r>
        <w:t>####</w:t>
      </w:r>
    </w:p>
    <w:p w14:paraId="280C66D3" w14:textId="7FEAC3DE" w:rsidR="00274C8B" w:rsidRDefault="00274C8B" w:rsidP="00274C8B">
      <w:hyperlink r:id="rId5" w:history="1">
        <w:r w:rsidRPr="00D0504C">
          <w:rPr>
            <w:rStyle w:val="Hyperlink"/>
          </w:rPr>
          <w:t>https://rpc.cfainstitute.org/sites/default/files/-/media/documents/book/rf-publication/1995/rf-v1995-n4-4453-pdf.pdf?utm_source=chatgpt.com</w:t>
        </w:r>
      </w:hyperlink>
    </w:p>
    <w:p w14:paraId="649A71F8" w14:textId="77777777" w:rsidR="00274C8B" w:rsidRDefault="00274C8B" w:rsidP="00274C8B"/>
    <w:p w14:paraId="0DB75F78" w14:textId="77777777" w:rsidR="00274C8B" w:rsidRPr="00274C8B" w:rsidRDefault="00274C8B" w:rsidP="00274C8B">
      <w:pPr>
        <w:spacing w:before="100" w:beforeAutospacing="1" w:after="100" w:afterAutospacing="1" w:line="240" w:lineRule="auto"/>
        <w:rPr>
          <w:rFonts w:ascii="Times New Roman" w:eastAsia="Times New Roman" w:hAnsi="Times New Roman" w:cs="Times New Roman"/>
          <w:kern w:val="0"/>
          <w14:ligatures w14:val="none"/>
        </w:rPr>
      </w:pPr>
      <w:r w:rsidRPr="00274C8B">
        <w:rPr>
          <w:rFonts w:ascii="Times New Roman" w:eastAsia="Times New Roman" w:hAnsi="Times New Roman" w:cs="Times New Roman"/>
          <w:b/>
          <w:bCs/>
          <w:kern w:val="0"/>
          <w14:ligatures w14:val="none"/>
        </w:rPr>
        <w:lastRenderedPageBreak/>
        <w:t>Proposed position:</w:t>
      </w:r>
      <w:r w:rsidRPr="00274C8B">
        <w:rPr>
          <w:rFonts w:ascii="Times New Roman" w:eastAsia="Times New Roman" w:hAnsi="Times New Roman" w:cs="Times New Roman"/>
          <w:kern w:val="0"/>
          <w14:ligatures w14:val="none"/>
        </w:rPr>
        <w:t xml:space="preserve"> for our implemented forward-rate grid, we should treat (F(T_</w:t>
      </w:r>
      <w:proofErr w:type="gramStart"/>
      <w:r w:rsidRPr="00274C8B">
        <w:rPr>
          <w:rFonts w:ascii="Times New Roman" w:eastAsia="Times New Roman" w:hAnsi="Times New Roman" w:cs="Times New Roman"/>
          <w:kern w:val="0"/>
          <w14:ligatures w14:val="none"/>
        </w:rPr>
        <w:t>1,T</w:t>
      </w:r>
      <w:proofErr w:type="gramEnd"/>
      <w:r w:rsidRPr="00274C8B">
        <w:rPr>
          <w:rFonts w:ascii="Times New Roman" w:eastAsia="Times New Roman" w:hAnsi="Times New Roman" w:cs="Times New Roman"/>
          <w:kern w:val="0"/>
          <w14:ligatures w14:val="none"/>
        </w:rPr>
        <w:t xml:space="preserve">_2)) as a </w:t>
      </w:r>
      <w:r w:rsidRPr="00274C8B">
        <w:rPr>
          <w:rFonts w:ascii="Times New Roman" w:eastAsia="Times New Roman" w:hAnsi="Times New Roman" w:cs="Times New Roman"/>
          <w:b/>
          <w:bCs/>
          <w:kern w:val="0"/>
          <w14:ligatures w14:val="none"/>
        </w:rPr>
        <w:t>fixed, ordered forward-segment representation of a single interest-rate curve</w:t>
      </w:r>
      <w:r w:rsidRPr="00274C8B">
        <w:rPr>
          <w:rFonts w:ascii="Times New Roman" w:eastAsia="Times New Roman" w:hAnsi="Times New Roman" w:cs="Times New Roman"/>
          <w:kern w:val="0"/>
          <w14:ligatures w14:val="none"/>
        </w:rPr>
        <w:t>, not as an independent forward-start/tenor surface. Therefore, RPOs should be mapped to instruments at, near, or representative of the forward segment endpoints (T_1) and (T_2).</w:t>
      </w:r>
    </w:p>
    <w:p w14:paraId="4ED62841" w14:textId="77777777" w:rsidR="00274C8B" w:rsidRPr="00274C8B" w:rsidRDefault="00274C8B" w:rsidP="00274C8B">
      <w:pPr>
        <w:spacing w:before="100" w:beforeAutospacing="1" w:after="100" w:afterAutospacing="1" w:line="240" w:lineRule="auto"/>
        <w:rPr>
          <w:rFonts w:ascii="Times New Roman" w:eastAsia="Times New Roman" w:hAnsi="Times New Roman" w:cs="Times New Roman"/>
          <w:kern w:val="0"/>
          <w14:ligatures w14:val="none"/>
        </w:rPr>
      </w:pPr>
      <w:r w:rsidRPr="00274C8B">
        <w:rPr>
          <w:rFonts w:ascii="Times New Roman" w:eastAsia="Times New Roman" w:hAnsi="Times New Roman" w:cs="Times New Roman"/>
          <w:b/>
          <w:bCs/>
          <w:kern w:val="0"/>
          <w14:ligatures w14:val="none"/>
        </w:rPr>
        <w:t>Why this is supportable:</w:t>
      </w:r>
    </w:p>
    <w:p w14:paraId="08D31F28" w14:textId="77777777" w:rsidR="00274C8B" w:rsidRPr="00274C8B" w:rsidRDefault="00274C8B" w:rsidP="00274C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C8B">
        <w:rPr>
          <w:rFonts w:ascii="Times New Roman" w:eastAsia="Times New Roman" w:hAnsi="Times New Roman" w:cs="Times New Roman"/>
          <w:kern w:val="0"/>
          <w14:ligatures w14:val="none"/>
        </w:rPr>
        <w:t>The Fed yield-curve paper explicitly states that the yield curve can be expressed as zero-coupon yields, par yields, instantaneous forward rates, or (n)-by-(m) forward rates, and that “yields and forward rates are simply alternative ways of describing the same curve.” It also decomposes a 10Y yield into a sequence of 1Y forwards, which is an ordered curve representation, not a separate surface.</w:t>
      </w:r>
    </w:p>
    <w:p w14:paraId="265EF755" w14:textId="77777777" w:rsidR="00274C8B" w:rsidRPr="00274C8B" w:rsidRDefault="00274C8B" w:rsidP="00274C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C8B">
        <w:rPr>
          <w:rFonts w:ascii="Times New Roman" w:eastAsia="Times New Roman" w:hAnsi="Times New Roman" w:cs="Times New Roman"/>
          <w:kern w:val="0"/>
          <w14:ligatures w14:val="none"/>
        </w:rPr>
        <w:t>Basel similarly treats forward rates as an accepted way to model the yield curve and then requires the yield curve to be divided into maturity segments.</w:t>
      </w:r>
    </w:p>
    <w:p w14:paraId="24433B64" w14:textId="77777777" w:rsidR="00274C8B" w:rsidRPr="00274C8B" w:rsidRDefault="00274C8B" w:rsidP="00274C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C8B">
        <w:rPr>
          <w:rFonts w:ascii="Times New Roman" w:eastAsia="Times New Roman" w:hAnsi="Times New Roman" w:cs="Times New Roman"/>
          <w:kern w:val="0"/>
          <w14:ligatures w14:val="none"/>
        </w:rPr>
        <w:t>CFA curriculum also presents spot, par, and forward curves as related term-structure representations, with forward rates derived from spot rates and compared as a forward curve.</w:t>
      </w:r>
    </w:p>
    <w:p w14:paraId="424A380E" w14:textId="77777777" w:rsidR="00274C8B" w:rsidRPr="00274C8B" w:rsidRDefault="00274C8B" w:rsidP="00274C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74C8B">
        <w:rPr>
          <w:rFonts w:ascii="Times New Roman" w:eastAsia="Times New Roman" w:hAnsi="Times New Roman" w:cs="Times New Roman"/>
          <w:kern w:val="0"/>
          <w14:ligatures w14:val="none"/>
        </w:rPr>
        <w:t>The NPR requires RPOs to be grouped at the “curve or surface level” and distinguishes single-maturity-dimension risk factors from several-maturity-dimension risk factors. This means the key decision is whether our implementation is a curve-segment representation or a true multi-dimensional surface.</w:t>
      </w:r>
    </w:p>
    <w:p w14:paraId="34554AED" w14:textId="77777777" w:rsidR="00274C8B" w:rsidRPr="00274C8B" w:rsidRDefault="00274C8B" w:rsidP="00274C8B">
      <w:pPr>
        <w:spacing w:before="100" w:beforeAutospacing="1" w:after="100" w:afterAutospacing="1" w:line="240" w:lineRule="auto"/>
        <w:rPr>
          <w:rFonts w:ascii="Times New Roman" w:eastAsia="Times New Roman" w:hAnsi="Times New Roman" w:cs="Times New Roman"/>
          <w:kern w:val="0"/>
          <w14:ligatures w14:val="none"/>
        </w:rPr>
      </w:pPr>
      <w:r w:rsidRPr="00274C8B">
        <w:rPr>
          <w:rFonts w:ascii="Times New Roman" w:eastAsia="Times New Roman" w:hAnsi="Times New Roman" w:cs="Times New Roman"/>
          <w:b/>
          <w:bCs/>
          <w:kern w:val="0"/>
          <w14:ligatures w14:val="none"/>
        </w:rPr>
        <w:t>Control language:</w:t>
      </w:r>
      <w:r w:rsidRPr="00274C8B">
        <w:rPr>
          <w:rFonts w:ascii="Times New Roman" w:eastAsia="Times New Roman" w:hAnsi="Times New Roman" w:cs="Times New Roman"/>
          <w:kern w:val="0"/>
          <w14:ligatures w14:val="none"/>
        </w:rPr>
        <w:t xml:space="preserve"> if we ever model forward rates with independently variable start-date and tenor/end-date dimensions, we should apply the multi-dimensional treatment. But for the current fixed forward-segment grid, Row A / own bucketing is the cleaner and more explainable approach.</w:t>
      </w:r>
    </w:p>
    <w:p w14:paraId="472837C5" w14:textId="77777777" w:rsidR="00274C8B" w:rsidRPr="00274C8B" w:rsidRDefault="00274C8B" w:rsidP="00274C8B">
      <w:pPr>
        <w:spacing w:before="100" w:beforeAutospacing="1" w:after="100" w:afterAutospacing="1" w:line="240" w:lineRule="auto"/>
        <w:rPr>
          <w:rFonts w:ascii="Times New Roman" w:eastAsia="Times New Roman" w:hAnsi="Times New Roman" w:cs="Times New Roman"/>
          <w:kern w:val="0"/>
          <w14:ligatures w14:val="none"/>
        </w:rPr>
      </w:pPr>
      <w:r w:rsidRPr="00274C8B">
        <w:rPr>
          <w:rFonts w:ascii="Times New Roman" w:eastAsia="Times New Roman" w:hAnsi="Times New Roman" w:cs="Times New Roman"/>
          <w:kern w:val="0"/>
          <w14:ligatures w14:val="none"/>
        </w:rPr>
        <w:t xml:space="preserve">I suggest we proceed with this framing: </w:t>
      </w:r>
      <w:r w:rsidRPr="00274C8B">
        <w:rPr>
          <w:rFonts w:ascii="Times New Roman" w:eastAsia="Times New Roman" w:hAnsi="Times New Roman" w:cs="Times New Roman"/>
          <w:b/>
          <w:bCs/>
          <w:kern w:val="0"/>
          <w14:ligatures w14:val="none"/>
        </w:rPr>
        <w:t>forward notation may contain two dates, but our implemented RF structure is a one-dimensional curve-segment representation.</w:t>
      </w:r>
    </w:p>
    <w:p w14:paraId="14A6877B" w14:textId="77777777" w:rsidR="00274C8B" w:rsidRDefault="00274C8B" w:rsidP="00274C8B"/>
    <w:p w14:paraId="4929E40A" w14:textId="77777777" w:rsidR="00274C8B" w:rsidRDefault="00274C8B" w:rsidP="00274C8B"/>
    <w:p w14:paraId="0CC04140" w14:textId="0A5B7050" w:rsidR="00274C8B" w:rsidRDefault="00274C8B" w:rsidP="00274C8B">
      <w:pPr>
        <w:rPr>
          <w:rStyle w:val="Strong"/>
        </w:rPr>
      </w:pPr>
      <w:r>
        <w:t xml:space="preserve">They say: </w:t>
      </w:r>
      <w:r>
        <w:rPr>
          <w:rStyle w:val="Strong"/>
        </w:rPr>
        <w:t>our specific forward RF implementation is a one-dimensional curve-segment representation.</w:t>
      </w:r>
    </w:p>
    <w:p w14:paraId="5D5BE1D7" w14:textId="77777777" w:rsidR="00274C8B" w:rsidRDefault="00274C8B" w:rsidP="00274C8B"/>
    <w:p w14:paraId="64F88406" w14:textId="77777777" w:rsidR="00274C8B" w:rsidRDefault="00274C8B" w:rsidP="00274C8B"/>
    <w:p w14:paraId="3A1C6794" w14:textId="77777777" w:rsidR="00274C8B" w:rsidRDefault="00274C8B" w:rsidP="00274C8B"/>
    <w:p w14:paraId="1A67DFAF" w14:textId="77777777" w:rsidR="00274C8B" w:rsidRDefault="00274C8B" w:rsidP="00274C8B"/>
    <w:p w14:paraId="2D0C0371" w14:textId="77777777" w:rsidR="00274C8B" w:rsidRDefault="00274C8B" w:rsidP="00274C8B"/>
    <w:p w14:paraId="4D8698B8" w14:textId="77777777" w:rsidR="00274C8B" w:rsidRDefault="00274C8B" w:rsidP="00274C8B"/>
    <w:p w14:paraId="4E2757EC" w14:textId="0BD6F14B" w:rsidR="00274C8B" w:rsidRDefault="00274C8B" w:rsidP="00274C8B">
      <w:r>
        <w:lastRenderedPageBreak/>
        <w:t>################</w:t>
      </w:r>
    </w:p>
    <w:p w14:paraId="6D8B2AA6" w14:textId="77777777" w:rsidR="00274C8B" w:rsidRDefault="00274C8B" w:rsidP="00274C8B">
      <w:pPr>
        <w:pStyle w:val="NormalWeb"/>
      </w:pPr>
      <w:r>
        <w:t xml:space="preserve">Below is a </w:t>
      </w:r>
      <w:r>
        <w:rPr>
          <w:rStyle w:val="Strong"/>
          <w:rFonts w:eastAsiaTheme="majorEastAsia"/>
        </w:rPr>
        <w:t>C-suite / middle-ground draft</w:t>
      </w:r>
      <w:r>
        <w:t>: respectful, calming, and designed to avoid wording that opens unnecessary regulatory questions.</w:t>
      </w:r>
    </w:p>
    <w:p w14:paraId="0EF0121A" w14:textId="77777777" w:rsidR="00274C8B" w:rsidRDefault="00274C8B" w:rsidP="00274C8B">
      <w:pPr>
        <w:pStyle w:val="NormalWeb"/>
      </w:pPr>
      <w:r>
        <w:t>Team,</w:t>
      </w:r>
    </w:p>
    <w:p w14:paraId="2AF32339" w14:textId="77777777" w:rsidR="00274C8B" w:rsidRDefault="00274C8B" w:rsidP="00274C8B">
      <w:pPr>
        <w:pStyle w:val="NormalWeb"/>
      </w:pPr>
      <w:r>
        <w:t>I appreciate both perspectives raised in the discussion. Both positions are thoughtful, and both are trying to protect the Bank from a different risk.</w:t>
      </w:r>
    </w:p>
    <w:p w14:paraId="4C9B08E3" w14:textId="77777777" w:rsidR="00274C8B" w:rsidRDefault="00274C8B" w:rsidP="00274C8B">
      <w:pPr>
        <w:pStyle w:val="NormalWeb"/>
      </w:pPr>
      <w:r>
        <w:t>The Row A view is trying to avoid an overly mechanical interpretation where the use of forward rates causes a clearly observable one-dimensional interest-rate curve to become artificially harder to evidence solely because of the mathematical representation chosen.</w:t>
      </w:r>
    </w:p>
    <w:p w14:paraId="72B0DBBB" w14:textId="77777777" w:rsidR="00274C8B" w:rsidRDefault="00274C8B" w:rsidP="00274C8B">
      <w:pPr>
        <w:pStyle w:val="NormalWeb"/>
      </w:pPr>
      <w:r>
        <w:t xml:space="preserve">The Row B view is also important because IMA </w:t>
      </w:r>
      <w:proofErr w:type="spellStart"/>
      <w:r>
        <w:t>modellability</w:t>
      </w:r>
      <w:proofErr w:type="spellEnd"/>
      <w:r>
        <w:t xml:space="preserve"> is assessed at the risk-factor level, not at an abstract curve level. We should not assume that a curve is modellable simply because some related market instruments are observable. The risk-factor representation matters, and the mapping from real price observations to risk factors must be explainable and controlled.</w:t>
      </w:r>
    </w:p>
    <w:p w14:paraId="05EA8B06" w14:textId="77777777" w:rsidR="00274C8B" w:rsidRDefault="00274C8B" w:rsidP="00274C8B">
      <w:pPr>
        <w:pStyle w:val="NormalWeb"/>
      </w:pPr>
      <w:r>
        <w:t>In my view, the objective is not to “win” a Row A versus Row B debate in the abstract. The objective is to define our forward-rate RPO mapping methodology in language that is economically intuitive, operationally stable, and supportable to MRM and supervisors.</w:t>
      </w:r>
    </w:p>
    <w:p w14:paraId="11E422D9" w14:textId="77777777" w:rsidR="00274C8B" w:rsidRDefault="00274C8B" w:rsidP="00274C8B">
      <w:pPr>
        <w:pStyle w:val="NormalWeb"/>
      </w:pPr>
      <w:r>
        <w:t>Both treatments can be defensible depending on the risk-factor representation. A genuinely independent forward-start / tenor surface may warrant a multi-dimensional treatment. A fixed, ordered, non-overlapping forward-segment representation of a single interest-rate curve can be treated as a one-dimensional curve representation. Therefore, the key point is to describe precisely what our Bank is modeling.</w:t>
      </w:r>
    </w:p>
    <w:p w14:paraId="7819A51D" w14:textId="77777777" w:rsidR="00274C8B" w:rsidRDefault="00274C8B" w:rsidP="00274C8B">
      <w:pPr>
        <w:pStyle w:val="NormalWeb"/>
      </w:pPr>
      <w:r>
        <w:t>Our proposed position should be:</w:t>
      </w:r>
    </w:p>
    <w:p w14:paraId="0AE031EA" w14:textId="77777777" w:rsidR="00274C8B" w:rsidRDefault="00274C8B" w:rsidP="00274C8B">
      <w:pPr>
        <w:pStyle w:val="NormalWeb"/>
      </w:pPr>
      <w:r>
        <w:t xml:space="preserve">For the Bank’s implemented forward-rate risk factors </w:t>
      </w:r>
      <w:r>
        <w:rPr>
          <w:rStyle w:val="katex"/>
          <w:rFonts w:eastAsiaTheme="majorEastAsia"/>
        </w:rPr>
        <w:t>F(T</w:t>
      </w:r>
      <w:proofErr w:type="gramStart"/>
      <w:r>
        <w:rPr>
          <w:rStyle w:val="katex"/>
          <w:rFonts w:eastAsiaTheme="majorEastAsia"/>
        </w:rPr>
        <w:t>1,T2)F</w:t>
      </w:r>
      <w:proofErr w:type="gramEnd"/>
      <w:r>
        <w:rPr>
          <w:rStyle w:val="katex"/>
          <w:rFonts w:eastAsiaTheme="majorEastAsia"/>
        </w:rPr>
        <w:t>(T_</w:t>
      </w:r>
      <w:proofErr w:type="gramStart"/>
      <w:r>
        <w:rPr>
          <w:rStyle w:val="katex"/>
          <w:rFonts w:eastAsiaTheme="majorEastAsia"/>
        </w:rPr>
        <w:t>1,T</w:t>
      </w:r>
      <w:proofErr w:type="gramEnd"/>
      <w:r>
        <w:rPr>
          <w:rStyle w:val="katex"/>
          <w:rFonts w:eastAsiaTheme="majorEastAsia"/>
        </w:rPr>
        <w:t>_2)</w:t>
      </w:r>
      <w:r>
        <w:t xml:space="preserve">, the risk factors are represented as a fixed, ordered set of non-overlapping maturity segments of a single interest-rate curve. In this representation, </w:t>
      </w:r>
      <w:r>
        <w:rPr>
          <w:rStyle w:val="katex"/>
          <w:rFonts w:eastAsiaTheme="majorEastAsia"/>
        </w:rPr>
        <w:t>T1T_1</w:t>
      </w:r>
      <w:r>
        <w:t xml:space="preserve"> and </w:t>
      </w:r>
      <w:r>
        <w:rPr>
          <w:rStyle w:val="katex"/>
          <w:rFonts w:eastAsiaTheme="majorEastAsia"/>
        </w:rPr>
        <w:t>T2T_2</w:t>
      </w:r>
      <w:r>
        <w:t xml:space="preserve"> identify the boundaries of the forward segment. They are not independently variable dimensions of a forward-start / tenor surface.</w:t>
      </w:r>
    </w:p>
    <w:p w14:paraId="55E79288" w14:textId="77777777" w:rsidR="00274C8B" w:rsidRDefault="00274C8B" w:rsidP="00274C8B">
      <w:pPr>
        <w:pStyle w:val="NormalWeb"/>
      </w:pPr>
      <w:r>
        <w:t xml:space="preserve">Accordingly, the Bank maps Real Price Observations to instruments at, near, or otherwise representative of the maturity regions around the forward segment endpoints </w:t>
      </w:r>
      <w:r>
        <w:rPr>
          <w:rStyle w:val="katex"/>
          <w:rFonts w:eastAsiaTheme="majorEastAsia"/>
        </w:rPr>
        <w:t>T1T_1</w:t>
      </w:r>
      <w:r>
        <w:t xml:space="preserve"> and </w:t>
      </w:r>
      <w:r>
        <w:rPr>
          <w:rStyle w:val="katex"/>
          <w:rFonts w:eastAsiaTheme="majorEastAsia"/>
        </w:rPr>
        <w:t>T2T_2</w:t>
      </w:r>
      <w:r>
        <w:t>. These observations provide market evidence for the curve levels that define the forward segment and therefore inform the value of the forward-rate risk factor.</w:t>
      </w:r>
    </w:p>
    <w:p w14:paraId="2FED51E9" w14:textId="77777777" w:rsidR="00274C8B" w:rsidRDefault="00274C8B" w:rsidP="00274C8B">
      <w:pPr>
        <w:pStyle w:val="NormalWeb"/>
      </w:pPr>
      <w:r>
        <w:t xml:space="preserve">The Bank does not apply a cumulative </w:t>
      </w:r>
      <w:r>
        <w:rPr>
          <w:rStyle w:val="katex"/>
          <w:rFonts w:eastAsiaTheme="majorEastAsia"/>
        </w:rPr>
        <w:t>0→T20 \</w:t>
      </w:r>
      <w:proofErr w:type="spellStart"/>
      <w:r>
        <w:rPr>
          <w:rStyle w:val="katex"/>
          <w:rFonts w:eastAsiaTheme="majorEastAsia"/>
        </w:rPr>
        <w:t>rightarrow</w:t>
      </w:r>
      <w:proofErr w:type="spellEnd"/>
      <w:r>
        <w:rPr>
          <w:rStyle w:val="katex"/>
          <w:rFonts w:eastAsiaTheme="majorEastAsia"/>
        </w:rPr>
        <w:t xml:space="preserve"> T_2</w:t>
      </w:r>
      <w:r>
        <w:t xml:space="preserve"> mapping approach. Requiring observations across the entire curve from today to </w:t>
      </w:r>
      <w:r>
        <w:rPr>
          <w:rStyle w:val="katex"/>
          <w:rFonts w:eastAsiaTheme="majorEastAsia"/>
        </w:rPr>
        <w:t>T2T_2</w:t>
      </w:r>
      <w:r>
        <w:t xml:space="preserve"> would make RFET outcomes dependent on the full input set of a particular curve-construction methodology, rather than on whether real prices inform the specific risk factor being tested. Earlier instruments may be used </w:t>
      </w:r>
      <w:r>
        <w:lastRenderedPageBreak/>
        <w:t>in curve construction, but that construction dependency does not, by itself, make every earlier instrument representative of every later forward-rate segment for RFET purposes.</w:t>
      </w:r>
    </w:p>
    <w:p w14:paraId="3E6C1DB4" w14:textId="77777777" w:rsidR="00274C8B" w:rsidRDefault="00274C8B" w:rsidP="00274C8B">
      <w:pPr>
        <w:pStyle w:val="NormalWeb"/>
      </w:pPr>
      <w:r>
        <w:t xml:space="preserve">The Bank also does not classify a forward-rate risk factor as multi-dimensional merely because the notation </w:t>
      </w:r>
      <w:r>
        <w:rPr>
          <w:rStyle w:val="katex"/>
          <w:rFonts w:eastAsiaTheme="majorEastAsia"/>
        </w:rPr>
        <w:t>F(T</w:t>
      </w:r>
      <w:proofErr w:type="gramStart"/>
      <w:r>
        <w:rPr>
          <w:rStyle w:val="katex"/>
          <w:rFonts w:eastAsiaTheme="majorEastAsia"/>
        </w:rPr>
        <w:t>1,T2)F</w:t>
      </w:r>
      <w:proofErr w:type="gramEnd"/>
      <w:r>
        <w:rPr>
          <w:rStyle w:val="katex"/>
          <w:rFonts w:eastAsiaTheme="majorEastAsia"/>
        </w:rPr>
        <w:t>(T_</w:t>
      </w:r>
      <w:proofErr w:type="gramStart"/>
      <w:r>
        <w:rPr>
          <w:rStyle w:val="katex"/>
          <w:rFonts w:eastAsiaTheme="majorEastAsia"/>
        </w:rPr>
        <w:t>1,T</w:t>
      </w:r>
      <w:proofErr w:type="gramEnd"/>
      <w:r>
        <w:rPr>
          <w:rStyle w:val="katex"/>
          <w:rFonts w:eastAsiaTheme="majorEastAsia"/>
        </w:rPr>
        <w:t>_2)</w:t>
      </w:r>
      <w:r>
        <w:t xml:space="preserve"> contains two dates. The dimensionality assessment should be based on the implemented risk-factor structure. Where forward rates are modeled as a fixed curve-segment representation, the risk factor is treated as a one-dimensional curve-segment risk factor. Where forward rates are modeled with independently variable start-date and tenor/end-date dimensions, the Bank will treat those risk factors as having several maturity dimensions and apply the applicable multi-dimensional bucketing treatment.</w:t>
      </w:r>
    </w:p>
    <w:p w14:paraId="54BC55DC" w14:textId="77777777" w:rsidR="00274C8B" w:rsidRDefault="00274C8B" w:rsidP="00274C8B">
      <w:pPr>
        <w:pStyle w:val="NormalWeb"/>
      </w:pPr>
      <w:r>
        <w:t xml:space="preserve">This approach is consistent with how forward rates are commonly used to describe yield curves. Federal Reserve research states that </w:t>
      </w:r>
      <w:proofErr w:type="gramStart"/>
      <w:r>
        <w:t>yields</w:t>
      </w:r>
      <w:proofErr w:type="gramEnd"/>
      <w:r>
        <w:t xml:space="preserve"> and forward rates are alternative descriptions of the same curve, and the Fed’s Treasury yield-curve work publishes zero-coupon yields, instantaneous forward rates, and par yields as different curve representations. The CFA curriculum also treats spot, par, and forward curves as related term-structure representations. Basel similarly states that, for general interest-rate risk, banks may model the yield curve using accepted approaches such as forward rates or zero-coupon yields, and that the yield curve should be divided into maturity segments. (</w:t>
      </w:r>
      <w:hyperlink r:id="rId6" w:tooltip="FRB: Finance and Economics Discussion Series: Screen Reader Version - The U.S. Teasury Yield Curve: 1961 to the Present" w:history="1">
        <w:r>
          <w:rPr>
            <w:rStyle w:val="Hyperlink"/>
            <w:rFonts w:eastAsiaTheme="majorEastAsia"/>
          </w:rPr>
          <w:t>Federal Reserve</w:t>
        </w:r>
      </w:hyperlink>
      <w:r>
        <w:t>)</w:t>
      </w:r>
    </w:p>
    <w:p w14:paraId="5836C019" w14:textId="77777777" w:rsidR="00274C8B" w:rsidRDefault="00274C8B" w:rsidP="00274C8B">
      <w:pPr>
        <w:pStyle w:val="NormalWeb"/>
      </w:pPr>
      <w:r>
        <w:t>At the same time, we recognize the regulatory concern that RFET is not simply a curve-level conclusion. The U.S. NPR requires real prices to be mapped to the relevant risk factors, and the regulatory bucketing framework distinguishes one maturity dimension from several maturity dimensions. Therefore, our documentation should make clear that our conclusion follows from the actual RF inventory, RTPL mapping, and curve-segment design, not from a generic assertion that all forward rates are always one-dimensional. (</w:t>
      </w:r>
      <w:proofErr w:type="spellStart"/>
      <w:r>
        <w:fldChar w:fldCharType="begin"/>
      </w:r>
      <w:r>
        <w:instrText>HYPERLINK "https://www.govinfo.gov/content/pkg/FR-2026-03-27/pdf/FR-2026-03-27.pdf?utm_source=chatgpt.com" \o "Federal Register / Vol. 91, No. 59 / Friday, March 27, 2026 / Proposed Rules"</w:instrText>
      </w:r>
      <w:r>
        <w:fldChar w:fldCharType="separate"/>
      </w:r>
      <w:r>
        <w:rPr>
          <w:rStyle w:val="Hyperlink"/>
          <w:rFonts w:eastAsiaTheme="majorEastAsia"/>
        </w:rPr>
        <w:t>GovInfo</w:t>
      </w:r>
      <w:proofErr w:type="spellEnd"/>
      <w:r>
        <w:fldChar w:fldCharType="end"/>
      </w:r>
      <w:r>
        <w:t>)</w:t>
      </w:r>
    </w:p>
    <w:p w14:paraId="47745D7E" w14:textId="77777777" w:rsidR="00274C8B" w:rsidRDefault="00274C8B" w:rsidP="00274C8B">
      <w:pPr>
        <w:pStyle w:val="NormalWeb"/>
      </w:pPr>
      <w:r>
        <w:t>Sensitivity or Jacobian analysis should be used only as supporting evidence. It can help demonstrate that the selected endpoint-based mapping is economically reasonable. However, the Jacobian should not define the RFET mapping rule, should not determine the daily RPO population, and should not become a production control that changes RFET bucket assignment whenever the curve build, interpolation method, or calibration instrument set changes.</w:t>
      </w:r>
    </w:p>
    <w:p w14:paraId="56337F84" w14:textId="77777777" w:rsidR="00274C8B" w:rsidRDefault="00274C8B" w:rsidP="00274C8B">
      <w:pPr>
        <w:pStyle w:val="NormalWeb"/>
      </w:pPr>
      <w:r>
        <w:t>This gives us a stable and explainable methodology:</w:t>
      </w:r>
    </w:p>
    <w:p w14:paraId="10AFD581" w14:textId="77777777" w:rsidR="00274C8B" w:rsidRDefault="00274C8B" w:rsidP="00274C8B">
      <w:pPr>
        <w:pStyle w:val="NormalWeb"/>
        <w:numPr>
          <w:ilvl w:val="0"/>
          <w:numId w:val="2"/>
        </w:numPr>
      </w:pPr>
      <w:r>
        <w:t>Define the actual forward RF inventory.</w:t>
      </w:r>
    </w:p>
    <w:p w14:paraId="449E7494" w14:textId="77777777" w:rsidR="00274C8B" w:rsidRDefault="00274C8B" w:rsidP="00274C8B">
      <w:pPr>
        <w:pStyle w:val="NormalWeb"/>
        <w:numPr>
          <w:ilvl w:val="0"/>
          <w:numId w:val="2"/>
        </w:numPr>
      </w:pPr>
      <w:r>
        <w:t>Confirm whether the RFs are fixed curve segments or an independent forward-start / tenor surface.</w:t>
      </w:r>
    </w:p>
    <w:p w14:paraId="0DEB2CE2" w14:textId="77777777" w:rsidR="00274C8B" w:rsidRDefault="00274C8B" w:rsidP="00274C8B">
      <w:pPr>
        <w:pStyle w:val="NormalWeb"/>
        <w:numPr>
          <w:ilvl w:val="0"/>
          <w:numId w:val="2"/>
        </w:numPr>
      </w:pPr>
      <w:r>
        <w:t xml:space="preserve">For fixed curve-segment RFs, apply endpoint-based RPO representativeness around </w:t>
      </w:r>
      <w:r>
        <w:rPr>
          <w:rStyle w:val="katex"/>
          <w:rFonts w:eastAsiaTheme="majorEastAsia"/>
        </w:rPr>
        <w:t>T1T_1</w:t>
      </w:r>
      <w:r>
        <w:t xml:space="preserve"> and </w:t>
      </w:r>
      <w:r>
        <w:rPr>
          <w:rStyle w:val="katex"/>
          <w:rFonts w:eastAsiaTheme="majorEastAsia"/>
        </w:rPr>
        <w:t>T2T_2</w:t>
      </w:r>
      <w:r>
        <w:t>.</w:t>
      </w:r>
    </w:p>
    <w:p w14:paraId="122588C9" w14:textId="77777777" w:rsidR="00274C8B" w:rsidRDefault="00274C8B" w:rsidP="00274C8B">
      <w:pPr>
        <w:pStyle w:val="NormalWeb"/>
        <w:numPr>
          <w:ilvl w:val="0"/>
          <w:numId w:val="2"/>
        </w:numPr>
      </w:pPr>
      <w:r>
        <w:t>Use sensitivity analysis as validation evidence, not as the RFET rule.</w:t>
      </w:r>
    </w:p>
    <w:p w14:paraId="44FD40B7" w14:textId="77777777" w:rsidR="00274C8B" w:rsidRDefault="00274C8B" w:rsidP="00274C8B">
      <w:pPr>
        <w:pStyle w:val="NormalWeb"/>
        <w:numPr>
          <w:ilvl w:val="0"/>
          <w:numId w:val="2"/>
        </w:numPr>
      </w:pPr>
      <w:r>
        <w:t>Maintain version-controlled mapping rules and review them when the RF representation, RTPL mapping, curve construction, or RPO source population materially changes.</w:t>
      </w:r>
    </w:p>
    <w:p w14:paraId="42A88113" w14:textId="77777777" w:rsidR="00274C8B" w:rsidRDefault="00274C8B" w:rsidP="00274C8B">
      <w:pPr>
        <w:pStyle w:val="NormalWeb"/>
      </w:pPr>
      <w:r>
        <w:t xml:space="preserve">This approach preserves the strongest points from both sides. It accepts that </w:t>
      </w:r>
      <w:proofErr w:type="spellStart"/>
      <w:r>
        <w:t>modellability</w:t>
      </w:r>
      <w:proofErr w:type="spellEnd"/>
      <w:r>
        <w:t xml:space="preserve"> is risk-factor specific, while avoiding an unnecessarily punitive interpretation that would treat a one-</w:t>
      </w:r>
      <w:r>
        <w:lastRenderedPageBreak/>
        <w:t>dimensional forward-curve representation as a two-dimensional surface solely because each segment has a start and end boundary.</w:t>
      </w:r>
    </w:p>
    <w:p w14:paraId="556C9283" w14:textId="77777777" w:rsidR="00274C8B" w:rsidRDefault="00274C8B" w:rsidP="00274C8B">
      <w:pPr>
        <w:pStyle w:val="NormalWeb"/>
      </w:pPr>
      <w:r>
        <w:t>The question we should put in front of MRM is therefore not: “Are forward rates Row A or Row B in every case?”</w:t>
      </w:r>
    </w:p>
    <w:p w14:paraId="413D98E9" w14:textId="77777777" w:rsidR="00274C8B" w:rsidRDefault="00274C8B" w:rsidP="00274C8B">
      <w:pPr>
        <w:pStyle w:val="NormalWeb"/>
      </w:pPr>
      <w:r>
        <w:t>The better question is:</w:t>
      </w:r>
    </w:p>
    <w:p w14:paraId="731FFD01" w14:textId="77777777" w:rsidR="00274C8B" w:rsidRDefault="00274C8B" w:rsidP="00274C8B">
      <w:pPr>
        <w:pStyle w:val="NormalWeb"/>
      </w:pPr>
      <w:r>
        <w:t>“Is our implemented forward-rate RF inventory a fixed, ordered, non-overlapping representation of a single interest-rate curve, or is it an independently modeled forward-start / tenor surface?”</w:t>
      </w:r>
    </w:p>
    <w:p w14:paraId="2D3A11D1" w14:textId="77777777" w:rsidR="00274C8B" w:rsidRDefault="00274C8B" w:rsidP="00274C8B">
      <w:pPr>
        <w:pStyle w:val="NormalWeb"/>
      </w:pPr>
      <w:r>
        <w:t>If it is the former, the Bank’s proposed one-dimensional endpoint-based mapping is appropriate and supportable. If it is the latter, multi-dimensional treatment should be applied.</w:t>
      </w:r>
    </w:p>
    <w:p w14:paraId="27CA3B8B" w14:textId="77777777" w:rsidR="00274C8B" w:rsidRDefault="00274C8B" w:rsidP="00274C8B">
      <w:pPr>
        <w:pStyle w:val="NormalWeb"/>
      </w:pPr>
      <w:r>
        <w:t>The most important phrases are:</w:t>
      </w:r>
    </w:p>
    <w:p w14:paraId="145B1B51" w14:textId="77777777" w:rsidR="00274C8B" w:rsidRDefault="00274C8B" w:rsidP="00274C8B">
      <w:pPr>
        <w:pStyle w:val="NormalWeb"/>
      </w:pPr>
      <w:r>
        <w:rPr>
          <w:rStyle w:val="Strong"/>
          <w:rFonts w:eastAsiaTheme="majorEastAsia"/>
        </w:rPr>
        <w:t>“</w:t>
      </w:r>
      <w:proofErr w:type="gramStart"/>
      <w:r>
        <w:rPr>
          <w:rStyle w:val="Strong"/>
          <w:rFonts w:eastAsiaTheme="majorEastAsia"/>
        </w:rPr>
        <w:t>implemented</w:t>
      </w:r>
      <w:proofErr w:type="gramEnd"/>
      <w:r>
        <w:rPr>
          <w:rStyle w:val="Strong"/>
          <w:rFonts w:eastAsiaTheme="majorEastAsia"/>
        </w:rPr>
        <w:t xml:space="preserve"> risk-factor structure”</w:t>
      </w:r>
      <w:r>
        <w:br/>
      </w:r>
      <w:r>
        <w:rPr>
          <w:rStyle w:val="Strong"/>
          <w:rFonts w:eastAsiaTheme="majorEastAsia"/>
        </w:rPr>
        <w:t>“fixed, ordered, non-overlapping maturity segments”</w:t>
      </w:r>
      <w:r>
        <w:br/>
      </w:r>
      <w:r>
        <w:rPr>
          <w:rStyle w:val="Strong"/>
          <w:rFonts w:eastAsiaTheme="majorEastAsia"/>
        </w:rPr>
        <w:t>“not independently variable dimensions”</w:t>
      </w:r>
      <w:r>
        <w:br/>
      </w:r>
      <w:r>
        <w:rPr>
          <w:rStyle w:val="Strong"/>
          <w:rFonts w:eastAsiaTheme="majorEastAsia"/>
        </w:rPr>
        <w:t>“endpoint-based representativeness”</w:t>
      </w:r>
      <w:r>
        <w:br/>
      </w:r>
      <w:r>
        <w:rPr>
          <w:rStyle w:val="Strong"/>
          <w:rFonts w:eastAsiaTheme="majorEastAsia"/>
        </w:rPr>
        <w:t>“Jacobian is supporting evidence, not the RFET rule”</w:t>
      </w:r>
    </w:p>
    <w:p w14:paraId="0633A169" w14:textId="77777777" w:rsidR="00274C8B" w:rsidRDefault="00274C8B" w:rsidP="00274C8B">
      <w:pPr>
        <w:pStyle w:val="NormalWeb"/>
      </w:pPr>
      <w:r>
        <w:t xml:space="preserve">Those phrases help you avoid triggering the wrong debate. They do not say “all forwards are Row A.” They say: </w:t>
      </w:r>
      <w:r>
        <w:rPr>
          <w:rStyle w:val="Strong"/>
          <w:rFonts w:eastAsiaTheme="majorEastAsia"/>
        </w:rPr>
        <w:t>our specific forward RF implementation is a one-dimensional curve-segment representation.</w:t>
      </w:r>
    </w:p>
    <w:p w14:paraId="75D518BA" w14:textId="77777777" w:rsidR="00274C8B" w:rsidRDefault="00274C8B" w:rsidP="00274C8B"/>
    <w:sectPr w:rsidR="00274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5D36"/>
    <w:multiLevelType w:val="multilevel"/>
    <w:tmpl w:val="794E3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3E74D7"/>
    <w:multiLevelType w:val="multilevel"/>
    <w:tmpl w:val="45E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581379">
    <w:abstractNumId w:val="1"/>
  </w:num>
  <w:num w:numId="2" w16cid:durableId="658654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C8B"/>
    <w:rsid w:val="00274C8B"/>
    <w:rsid w:val="00B96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093D7"/>
  <w15:chartTrackingRefBased/>
  <w15:docId w15:val="{2D9C7139-278E-4D5C-B40B-D724C8384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C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C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C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C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C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C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C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C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C8B"/>
    <w:rPr>
      <w:rFonts w:eastAsiaTheme="majorEastAsia" w:cstheme="majorBidi"/>
      <w:color w:val="272727" w:themeColor="text1" w:themeTint="D8"/>
    </w:rPr>
  </w:style>
  <w:style w:type="paragraph" w:styleId="Title">
    <w:name w:val="Title"/>
    <w:basedOn w:val="Normal"/>
    <w:next w:val="Normal"/>
    <w:link w:val="TitleChar"/>
    <w:uiPriority w:val="10"/>
    <w:qFormat/>
    <w:rsid w:val="00274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C8B"/>
    <w:pPr>
      <w:spacing w:before="160"/>
      <w:jc w:val="center"/>
    </w:pPr>
    <w:rPr>
      <w:i/>
      <w:iCs/>
      <w:color w:val="404040" w:themeColor="text1" w:themeTint="BF"/>
    </w:rPr>
  </w:style>
  <w:style w:type="character" w:customStyle="1" w:styleId="QuoteChar">
    <w:name w:val="Quote Char"/>
    <w:basedOn w:val="DefaultParagraphFont"/>
    <w:link w:val="Quote"/>
    <w:uiPriority w:val="29"/>
    <w:rsid w:val="00274C8B"/>
    <w:rPr>
      <w:i/>
      <w:iCs/>
      <w:color w:val="404040" w:themeColor="text1" w:themeTint="BF"/>
    </w:rPr>
  </w:style>
  <w:style w:type="paragraph" w:styleId="ListParagraph">
    <w:name w:val="List Paragraph"/>
    <w:basedOn w:val="Normal"/>
    <w:uiPriority w:val="34"/>
    <w:qFormat/>
    <w:rsid w:val="00274C8B"/>
    <w:pPr>
      <w:ind w:left="720"/>
      <w:contextualSpacing/>
    </w:pPr>
  </w:style>
  <w:style w:type="character" w:styleId="IntenseEmphasis">
    <w:name w:val="Intense Emphasis"/>
    <w:basedOn w:val="DefaultParagraphFont"/>
    <w:uiPriority w:val="21"/>
    <w:qFormat/>
    <w:rsid w:val="00274C8B"/>
    <w:rPr>
      <w:i/>
      <w:iCs/>
      <w:color w:val="2F5496" w:themeColor="accent1" w:themeShade="BF"/>
    </w:rPr>
  </w:style>
  <w:style w:type="paragraph" w:styleId="IntenseQuote">
    <w:name w:val="Intense Quote"/>
    <w:basedOn w:val="Normal"/>
    <w:next w:val="Normal"/>
    <w:link w:val="IntenseQuoteChar"/>
    <w:uiPriority w:val="30"/>
    <w:qFormat/>
    <w:rsid w:val="00274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C8B"/>
    <w:rPr>
      <w:i/>
      <w:iCs/>
      <w:color w:val="2F5496" w:themeColor="accent1" w:themeShade="BF"/>
    </w:rPr>
  </w:style>
  <w:style w:type="character" w:styleId="IntenseReference">
    <w:name w:val="Intense Reference"/>
    <w:basedOn w:val="DefaultParagraphFont"/>
    <w:uiPriority w:val="32"/>
    <w:qFormat/>
    <w:rsid w:val="00274C8B"/>
    <w:rPr>
      <w:b/>
      <w:bCs/>
      <w:smallCaps/>
      <w:color w:val="2F5496" w:themeColor="accent1" w:themeShade="BF"/>
      <w:spacing w:val="5"/>
    </w:rPr>
  </w:style>
  <w:style w:type="character" w:styleId="Hyperlink">
    <w:name w:val="Hyperlink"/>
    <w:basedOn w:val="DefaultParagraphFont"/>
    <w:uiPriority w:val="99"/>
    <w:unhideWhenUsed/>
    <w:rsid w:val="00274C8B"/>
    <w:rPr>
      <w:color w:val="0563C1" w:themeColor="hyperlink"/>
      <w:u w:val="single"/>
    </w:rPr>
  </w:style>
  <w:style w:type="character" w:styleId="UnresolvedMention">
    <w:name w:val="Unresolved Mention"/>
    <w:basedOn w:val="DefaultParagraphFont"/>
    <w:uiPriority w:val="99"/>
    <w:semiHidden/>
    <w:unhideWhenUsed/>
    <w:rsid w:val="00274C8B"/>
    <w:rPr>
      <w:color w:val="605E5C"/>
      <w:shd w:val="clear" w:color="auto" w:fill="E1DFDD"/>
    </w:rPr>
  </w:style>
  <w:style w:type="paragraph" w:customStyle="1" w:styleId="isselectedend">
    <w:name w:val="isselectedend"/>
    <w:basedOn w:val="Normal"/>
    <w:rsid w:val="00274C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4C8B"/>
    <w:rPr>
      <w:b/>
      <w:bCs/>
    </w:rPr>
  </w:style>
  <w:style w:type="paragraph" w:styleId="NormalWeb">
    <w:name w:val="Normal (Web)"/>
    <w:basedOn w:val="Normal"/>
    <w:uiPriority w:val="99"/>
    <w:semiHidden/>
    <w:unhideWhenUsed/>
    <w:rsid w:val="00274C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274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ederalreserve.gov/pubs/feds/2006/200628/?utm_source=chatgpt.com" TargetMode="External"/><Relationship Id="rId5" Type="http://schemas.openxmlformats.org/officeDocument/2006/relationships/hyperlink" Target="https://rpc.cfainstitute.org/sites/default/files/-/media/documents/book/rf-publication/1995/rf-v1995-n4-4453-pdf.pd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1847</Words>
  <Characters>10531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1</cp:revision>
  <dcterms:created xsi:type="dcterms:W3CDTF">2026-09-16T12:24:00Z</dcterms:created>
  <dcterms:modified xsi:type="dcterms:W3CDTF">2026-09-16T12:36:00Z</dcterms:modified>
</cp:coreProperties>
</file>