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813F7" w14:textId="77777777" w:rsidR="003759CB" w:rsidRPr="003759CB" w:rsidRDefault="003759CB" w:rsidP="003759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59CB">
        <w:rPr>
          <w:rFonts w:ascii="Times New Roman" w:eastAsia="Times New Roman" w:hAnsi="Times New Roman" w:cs="Times New Roman"/>
          <w:b/>
          <w:bCs/>
          <w:kern w:val="36"/>
          <w:sz w:val="48"/>
          <w:szCs w:val="48"/>
          <w14:ligatures w14:val="none"/>
        </w:rPr>
        <w:t>FRTB IMA — The Plain English Guide</w:t>
      </w:r>
    </w:p>
    <w:p w14:paraId="09C2EE3C" w14:textId="77777777" w:rsidR="003759CB" w:rsidRPr="003759CB" w:rsidRDefault="003759CB" w:rsidP="003759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59CB">
        <w:rPr>
          <w:rFonts w:ascii="Times New Roman" w:eastAsia="Times New Roman" w:hAnsi="Times New Roman" w:cs="Times New Roman"/>
          <w:b/>
          <w:bCs/>
          <w:kern w:val="0"/>
          <w:sz w:val="27"/>
          <w:szCs w:val="27"/>
          <w14:ligatures w14:val="none"/>
        </w:rPr>
        <w:t>A Q&amp;A Explainer for Someone Who's Never Heard of Any of This</w:t>
      </w:r>
    </w:p>
    <w:p w14:paraId="163A1EE2"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pict w14:anchorId="3BE16EEC">
          <v:rect id="_x0000_i1025" style="width:0;height:1.5pt" o:hralign="center" o:hrstd="t" o:hr="t" fillcolor="#a0a0a0" stroked="f"/>
        </w:pict>
      </w:r>
    </w:p>
    <w:p w14:paraId="4EBF8896" w14:textId="77777777" w:rsidR="003759CB" w:rsidRPr="003759CB" w:rsidRDefault="003759CB" w:rsidP="003759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9CB">
        <w:rPr>
          <w:rFonts w:ascii="Times New Roman" w:eastAsia="Times New Roman" w:hAnsi="Times New Roman" w:cs="Times New Roman"/>
          <w:b/>
          <w:bCs/>
          <w:kern w:val="0"/>
          <w:sz w:val="36"/>
          <w:szCs w:val="36"/>
          <w14:ligatures w14:val="none"/>
        </w:rPr>
        <w:t>Part 1: The Big Choice — SA vs. IMA</w:t>
      </w:r>
    </w:p>
    <w:p w14:paraId="24E7BD15"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What is FRTB?</w:t>
      </w:r>
    </w:p>
    <w:p w14:paraId="694D9941"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FRTB stands for Fundamental Review of the Trading Book. It's a new set of rules from banking regulators that changes how banks calculate how much capital they need to hold against their trading activities. Think of it as the regulator saying: "We've looked at how you measure trading risk, and we want you to do it differently — and better."</w:t>
      </w:r>
    </w:p>
    <w:p w14:paraId="60FD4F84"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OK, so what does "capital" mean here?</w:t>
      </w:r>
    </w:p>
    <w:p w14:paraId="70E07349"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When a bank trades — bonds, currencies, equities, derivatives — those positions can lose value. The regulator requires the bank to hold a cushion of money (capital) to absorb potential losses. The bigger the risk, the bigger the cushion. The question is: how do you measure the risk to decide how big the cushion should be?</w:t>
      </w:r>
    </w:p>
    <w:p w14:paraId="6DB3ACC8"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And FRTB changes that measurement?</w:t>
      </w:r>
    </w:p>
    <w:p w14:paraId="20F858D6"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Yes. Under FRTB, every bank has two options for how to measure trading risk and calculate that capital cushion:</w:t>
      </w:r>
    </w:p>
    <w:p w14:paraId="7274DE09" w14:textId="77777777" w:rsidR="003759CB" w:rsidRPr="003759CB" w:rsidRDefault="003759CB" w:rsidP="003759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Option 1: Standardized Approach (SA)</w:t>
      </w:r>
      <w:r w:rsidRPr="003759CB">
        <w:rPr>
          <w:rFonts w:ascii="Times New Roman" w:eastAsia="Times New Roman" w:hAnsi="Times New Roman" w:cs="Times New Roman"/>
          <w:kern w:val="0"/>
          <w14:ligatures w14:val="none"/>
        </w:rPr>
        <w:t xml:space="preserve"> — The regulator gives you a formula. You plug in your positions, apply prescribed risk weights, and out comes your capital number. It's simple, but it's conservative. Think of it like filing your taxes with the standard deduction — easy, but you might pay more than you need to.</w:t>
      </w:r>
    </w:p>
    <w:p w14:paraId="0876E660" w14:textId="77777777" w:rsidR="003759CB" w:rsidRPr="003759CB" w:rsidRDefault="003759CB" w:rsidP="003759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Option 2: Internal Models Approach (IMA)</w:t>
      </w:r>
      <w:r w:rsidRPr="003759CB">
        <w:rPr>
          <w:rFonts w:ascii="Times New Roman" w:eastAsia="Times New Roman" w:hAnsi="Times New Roman" w:cs="Times New Roman"/>
          <w:kern w:val="0"/>
          <w14:ligatures w14:val="none"/>
        </w:rPr>
        <w:t xml:space="preserve"> — You build your own risk model, the regulator approves it, and you use that model to calculate capital. It's harder to build and maintain, but if your model is good, you get a </w:t>
      </w:r>
      <w:r w:rsidRPr="003759CB">
        <w:rPr>
          <w:rFonts w:ascii="Times New Roman" w:eastAsia="Times New Roman" w:hAnsi="Times New Roman" w:cs="Times New Roman"/>
          <w:b/>
          <w:bCs/>
          <w:kern w:val="0"/>
          <w14:ligatures w14:val="none"/>
        </w:rPr>
        <w:t>lower capital charge</w:t>
      </w:r>
      <w:r w:rsidRPr="003759CB">
        <w:rPr>
          <w:rFonts w:ascii="Times New Roman" w:eastAsia="Times New Roman" w:hAnsi="Times New Roman" w:cs="Times New Roman"/>
          <w:kern w:val="0"/>
          <w14:ligatures w14:val="none"/>
        </w:rPr>
        <w:t xml:space="preserve"> because your model captures diversification and hedging benefits that the standardized formula ignores. Think of it like itemizing your deductions — more work, but you could pay significantly less.</w:t>
      </w:r>
    </w:p>
    <w:p w14:paraId="5470A1F4"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How much less?</w:t>
      </w:r>
    </w:p>
    <w:p w14:paraId="0001E683"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It depends on the portfolio, but IMA can produce capital charges that are 20–40% lower than SA for well-diversified trading books. On a large trading operation, that's hundreds of millions of dollars in capital savings.</w:t>
      </w:r>
    </w:p>
    <w:p w14:paraId="63F4CD09"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So why wouldn't everyone just use IMA?</w:t>
      </w:r>
    </w:p>
    <w:p w14:paraId="416ABADF"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lastRenderedPageBreak/>
        <w:t xml:space="preserve">Because you have to </w:t>
      </w:r>
      <w:r w:rsidRPr="003759CB">
        <w:rPr>
          <w:rFonts w:ascii="Times New Roman" w:eastAsia="Times New Roman" w:hAnsi="Times New Roman" w:cs="Times New Roman"/>
          <w:b/>
          <w:bCs/>
          <w:kern w:val="0"/>
          <w14:ligatures w14:val="none"/>
        </w:rPr>
        <w:t>earn the right</w:t>
      </w:r>
      <w:r w:rsidRPr="003759CB">
        <w:rPr>
          <w:rFonts w:ascii="Times New Roman" w:eastAsia="Times New Roman" w:hAnsi="Times New Roman" w:cs="Times New Roman"/>
          <w:kern w:val="0"/>
          <w14:ligatures w14:val="none"/>
        </w:rPr>
        <w:t xml:space="preserve"> to use it. The regulator doesn't just let you use your own model. You have to:</w:t>
      </w:r>
    </w:p>
    <w:p w14:paraId="368FD43B" w14:textId="77777777" w:rsidR="003759CB" w:rsidRPr="003759CB" w:rsidRDefault="003759CB" w:rsidP="003759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Build the model</w:t>
      </w:r>
    </w:p>
    <w:p w14:paraId="46CD9F65" w14:textId="77777777" w:rsidR="003759CB" w:rsidRPr="003759CB" w:rsidRDefault="003759CB" w:rsidP="003759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Get it approved by the supervisor</w:t>
      </w:r>
    </w:p>
    <w:p w14:paraId="5968B5DD" w14:textId="77777777" w:rsidR="003759CB" w:rsidRPr="003759CB" w:rsidRDefault="003759CB" w:rsidP="003759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Prove it works — every single day — through ongoing tests</w:t>
      </w:r>
    </w:p>
    <w:p w14:paraId="2115C6C3" w14:textId="77777777" w:rsidR="003759CB" w:rsidRPr="003759CB" w:rsidRDefault="003759CB" w:rsidP="003759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If your model fails those tests, you lose IMA and go back to SA</w:t>
      </w:r>
    </w:p>
    <w:p w14:paraId="5B76FAC2"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It's like getting a driver's license. You can drive yourself (IMA) instead of taking a taxi (SA), but you need to pass the test first, and if you get too many violations, your license gets revoked.</w:t>
      </w:r>
    </w:p>
    <w:p w14:paraId="7E7ECF19"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pict w14:anchorId="5269221C">
          <v:rect id="_x0000_i1026" style="width:0;height:1.5pt" o:hralign="center" o:hrstd="t" o:hr="t" fillcolor="#a0a0a0" stroked="f"/>
        </w:pict>
      </w:r>
    </w:p>
    <w:p w14:paraId="61DBDE20" w14:textId="77777777" w:rsidR="003759CB" w:rsidRPr="003759CB" w:rsidRDefault="003759CB" w:rsidP="003759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9CB">
        <w:rPr>
          <w:rFonts w:ascii="Times New Roman" w:eastAsia="Times New Roman" w:hAnsi="Times New Roman" w:cs="Times New Roman"/>
          <w:b/>
          <w:bCs/>
          <w:kern w:val="0"/>
          <w:sz w:val="36"/>
          <w:szCs w:val="36"/>
          <w14:ligatures w14:val="none"/>
        </w:rPr>
        <w:t>Part 2: Getting Approved — Is Your Model Good Enough?</w:t>
      </w:r>
    </w:p>
    <w:p w14:paraId="4AE56F21"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What does the regulator actually check before approving IMA?</w:t>
      </w:r>
    </w:p>
    <w:p w14:paraId="5EE52857"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Three things, essentially:</w:t>
      </w:r>
    </w:p>
    <w:p w14:paraId="18498C44" w14:textId="77777777" w:rsidR="003759CB" w:rsidRPr="003759CB" w:rsidRDefault="003759CB" w:rsidP="003759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Is your front office pricing model good enough?</w:t>
      </w:r>
      <w:r w:rsidRPr="003759CB">
        <w:rPr>
          <w:rFonts w:ascii="Times New Roman" w:eastAsia="Times New Roman" w:hAnsi="Times New Roman" w:cs="Times New Roman"/>
          <w:kern w:val="0"/>
          <w14:ligatures w14:val="none"/>
        </w:rPr>
        <w:t xml:space="preserve"> — The model that your traders use to price and value positions every day.</w:t>
      </w:r>
    </w:p>
    <w:p w14:paraId="5896CD71" w14:textId="77777777" w:rsidR="003759CB" w:rsidRPr="003759CB" w:rsidRDefault="003759CB" w:rsidP="003759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Is your risk model good enough?</w:t>
      </w:r>
      <w:r w:rsidRPr="003759CB">
        <w:rPr>
          <w:rFonts w:ascii="Times New Roman" w:eastAsia="Times New Roman" w:hAnsi="Times New Roman" w:cs="Times New Roman"/>
          <w:kern w:val="0"/>
          <w14:ligatures w14:val="none"/>
        </w:rPr>
        <w:t xml:space="preserve"> — The model that estimates how much those positions could lose.</w:t>
      </w:r>
    </w:p>
    <w:p w14:paraId="2C543F7E" w14:textId="77777777" w:rsidR="003759CB" w:rsidRPr="003759CB" w:rsidRDefault="003759CB" w:rsidP="003759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Do those two models agree with each other?</w:t>
      </w:r>
      <w:r w:rsidRPr="003759CB">
        <w:rPr>
          <w:rFonts w:ascii="Times New Roman" w:eastAsia="Times New Roman" w:hAnsi="Times New Roman" w:cs="Times New Roman"/>
          <w:kern w:val="0"/>
          <w14:ligatures w14:val="none"/>
        </w:rPr>
        <w:t xml:space="preserve"> — This is the big one.</w:t>
      </w:r>
    </w:p>
    <w:p w14:paraId="37149DA4"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Why do the front office and risk models need to agree?</w:t>
      </w:r>
    </w:p>
    <w:p w14:paraId="2CF06064"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Imagine two people are looking at the same house. The front office model is the real estate agent saying "this house is worth $500,000 and here's why it went up $10,000 today." The risk model is the insurance appraiser saying "if the market drops, this house could lose $10,000."</w:t>
      </w:r>
    </w:p>
    <w:p w14:paraId="1CAE9E91"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The regulator wants to make sure both are looking at the </w:t>
      </w:r>
      <w:r w:rsidRPr="003759CB">
        <w:rPr>
          <w:rFonts w:ascii="Times New Roman" w:eastAsia="Times New Roman" w:hAnsi="Times New Roman" w:cs="Times New Roman"/>
          <w:b/>
          <w:bCs/>
          <w:kern w:val="0"/>
          <w14:ligatures w14:val="none"/>
        </w:rPr>
        <w:t>same house</w:t>
      </w:r>
      <w:r w:rsidRPr="003759CB">
        <w:rPr>
          <w:rFonts w:ascii="Times New Roman" w:eastAsia="Times New Roman" w:hAnsi="Times New Roman" w:cs="Times New Roman"/>
          <w:kern w:val="0"/>
          <w14:ligatures w14:val="none"/>
        </w:rPr>
        <w:t xml:space="preserve"> and describing its value changes in the </w:t>
      </w:r>
      <w:r w:rsidRPr="003759CB">
        <w:rPr>
          <w:rFonts w:ascii="Times New Roman" w:eastAsia="Times New Roman" w:hAnsi="Times New Roman" w:cs="Times New Roman"/>
          <w:b/>
          <w:bCs/>
          <w:kern w:val="0"/>
          <w14:ligatures w14:val="none"/>
        </w:rPr>
        <w:t>same language</w:t>
      </w:r>
      <w:r w:rsidRPr="003759CB">
        <w:rPr>
          <w:rFonts w:ascii="Times New Roman" w:eastAsia="Times New Roman" w:hAnsi="Times New Roman" w:cs="Times New Roman"/>
          <w:kern w:val="0"/>
          <w14:ligatures w14:val="none"/>
        </w:rPr>
        <w:t>. If the real estate agent says the house went up because of the kitchen renovation but the insurance appraiser doesn't even know the kitchen exists — that's a problem.</w:t>
      </w:r>
    </w:p>
    <w:p w14:paraId="7205EA07"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In technical terms: the front office produces a daily P&amp;L number. The risk model produces its own version of that P&amp;L. The regulator compares them. If they don't match closely enough, you fail.</w:t>
      </w:r>
    </w:p>
    <w:p w14:paraId="67F00813"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What could cause them to not match?</w:t>
      </w:r>
    </w:p>
    <w:p w14:paraId="7E72B2B7"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Two very common reasons:</w:t>
      </w:r>
    </w:p>
    <w:p w14:paraId="113F1350"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Reason 1: Different ingredients.</w:t>
      </w:r>
      <w:r w:rsidRPr="003759CB">
        <w:rPr>
          <w:rFonts w:ascii="Times New Roman" w:eastAsia="Times New Roman" w:hAnsi="Times New Roman" w:cs="Times New Roman"/>
          <w:kern w:val="0"/>
          <w14:ligatures w14:val="none"/>
        </w:rPr>
        <w:t xml:space="preserve"> The front office might use a simplified interest rate curve with 10 points on it. The risk model might use a full curve with 50 points. They're describing the same </w:t>
      </w:r>
      <w:r w:rsidRPr="003759CB">
        <w:rPr>
          <w:rFonts w:ascii="Times New Roman" w:eastAsia="Times New Roman" w:hAnsi="Times New Roman" w:cs="Times New Roman"/>
          <w:kern w:val="0"/>
          <w14:ligatures w14:val="none"/>
        </w:rPr>
        <w:lastRenderedPageBreak/>
        <w:t>market, but with different levels of detail. When rates move, they'll compute slightly different P&amp;L numbers.</w:t>
      </w:r>
    </w:p>
    <w:p w14:paraId="3BD4AF37"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The fix: you need to </w:t>
      </w:r>
      <w:r w:rsidRPr="003759CB">
        <w:rPr>
          <w:rFonts w:ascii="Times New Roman" w:eastAsia="Times New Roman" w:hAnsi="Times New Roman" w:cs="Times New Roman"/>
          <w:b/>
          <w:bCs/>
          <w:kern w:val="0"/>
          <w14:ligatures w14:val="none"/>
        </w:rPr>
        <w:t>align</w:t>
      </w:r>
      <w:r w:rsidRPr="003759CB">
        <w:rPr>
          <w:rFonts w:ascii="Times New Roman" w:eastAsia="Times New Roman" w:hAnsi="Times New Roman" w:cs="Times New Roman"/>
          <w:kern w:val="0"/>
          <w14:ligatures w14:val="none"/>
        </w:rPr>
        <w:t xml:space="preserve"> them. Either upgrade the front office model to use the full curve, or make sure the risk model uses the same representation. In practice, this often means moving from simplified models to full-configuration models that capture every relevant risk factor.</w:t>
      </w:r>
    </w:p>
    <w:p w14:paraId="6952B1EF"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Reason 2: Time effects.</w:t>
      </w:r>
      <w:r w:rsidRPr="003759CB">
        <w:rPr>
          <w:rFonts w:ascii="Times New Roman" w:eastAsia="Times New Roman" w:hAnsi="Times New Roman" w:cs="Times New Roman"/>
          <w:kern w:val="0"/>
          <w14:ligatures w14:val="none"/>
        </w:rPr>
        <w:t xml:space="preserve"> This one is subtle but important. Let me explain with an example.</w:t>
      </w:r>
    </w:p>
    <w:p w14:paraId="24811FAD"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Say you own a bond. Every day, two things happen to its value:</w:t>
      </w:r>
    </w:p>
    <w:p w14:paraId="08A90160" w14:textId="77777777" w:rsidR="003759CB" w:rsidRPr="003759CB" w:rsidRDefault="003759CB" w:rsidP="003759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The </w:t>
      </w:r>
      <w:r w:rsidRPr="003759CB">
        <w:rPr>
          <w:rFonts w:ascii="Times New Roman" w:eastAsia="Times New Roman" w:hAnsi="Times New Roman" w:cs="Times New Roman"/>
          <w:b/>
          <w:bCs/>
          <w:kern w:val="0"/>
          <w14:ligatures w14:val="none"/>
        </w:rPr>
        <w:t>market moves</w:t>
      </w:r>
      <w:r w:rsidRPr="003759CB">
        <w:rPr>
          <w:rFonts w:ascii="Times New Roman" w:eastAsia="Times New Roman" w:hAnsi="Times New Roman" w:cs="Times New Roman"/>
          <w:kern w:val="0"/>
          <w14:ligatures w14:val="none"/>
        </w:rPr>
        <w:t xml:space="preserve"> — interest rates go up or down, and that changes the bond's price. This is market risk.</w:t>
      </w:r>
    </w:p>
    <w:p w14:paraId="56A664F7" w14:textId="77777777" w:rsidR="003759CB" w:rsidRPr="003759CB" w:rsidRDefault="003759CB" w:rsidP="003759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Time passes</w:t>
      </w:r>
      <w:r w:rsidRPr="003759CB">
        <w:rPr>
          <w:rFonts w:ascii="Times New Roman" w:eastAsia="Times New Roman" w:hAnsi="Times New Roman" w:cs="Times New Roman"/>
          <w:kern w:val="0"/>
          <w14:ligatures w14:val="none"/>
        </w:rPr>
        <w:t xml:space="preserve"> — the bond earns one day of interest income (carry), and it gets one day closer to maturity (roll-down). This happens even if the market doesn't move at all.</w:t>
      </w:r>
    </w:p>
    <w:p w14:paraId="487C2E33"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The front office P&amp;L typically includes </w:t>
      </w:r>
      <w:r w:rsidRPr="003759CB">
        <w:rPr>
          <w:rFonts w:ascii="Times New Roman" w:eastAsia="Times New Roman" w:hAnsi="Times New Roman" w:cs="Times New Roman"/>
          <w:b/>
          <w:bCs/>
          <w:kern w:val="0"/>
          <w14:ligatures w14:val="none"/>
        </w:rPr>
        <w:t>both</w:t>
      </w:r>
      <w:r w:rsidRPr="003759CB">
        <w:rPr>
          <w:rFonts w:ascii="Times New Roman" w:eastAsia="Times New Roman" w:hAnsi="Times New Roman" w:cs="Times New Roman"/>
          <w:kern w:val="0"/>
          <w14:ligatures w14:val="none"/>
        </w:rPr>
        <w:t xml:space="preserve"> — the market </w:t>
      </w:r>
      <w:proofErr w:type="gramStart"/>
      <w:r w:rsidRPr="003759CB">
        <w:rPr>
          <w:rFonts w:ascii="Times New Roman" w:eastAsia="Times New Roman" w:hAnsi="Times New Roman" w:cs="Times New Roman"/>
          <w:kern w:val="0"/>
          <w14:ligatures w14:val="none"/>
        </w:rPr>
        <w:t>move</w:t>
      </w:r>
      <w:proofErr w:type="gramEnd"/>
      <w:r w:rsidRPr="003759CB">
        <w:rPr>
          <w:rFonts w:ascii="Times New Roman" w:eastAsia="Times New Roman" w:hAnsi="Times New Roman" w:cs="Times New Roman"/>
          <w:kern w:val="0"/>
          <w14:ligatures w14:val="none"/>
        </w:rPr>
        <w:t xml:space="preserve"> and the time effect. But a clean risk P&amp;L might only include the market move. If one side includes carry and the other doesn't, they'll never match — and you'll fail the regulator's comparison test.</w:t>
      </w:r>
    </w:p>
    <w:p w14:paraId="5F052587"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The fix: decide whether to include or exclude time effects, and then apply that choice </w:t>
      </w:r>
      <w:r w:rsidRPr="003759CB">
        <w:rPr>
          <w:rFonts w:ascii="Times New Roman" w:eastAsia="Times New Roman" w:hAnsi="Times New Roman" w:cs="Times New Roman"/>
          <w:b/>
          <w:bCs/>
          <w:kern w:val="0"/>
          <w14:ligatures w14:val="none"/>
        </w:rPr>
        <w:t>consistently</w:t>
      </w:r>
      <w:r w:rsidRPr="003759CB">
        <w:rPr>
          <w:rFonts w:ascii="Times New Roman" w:eastAsia="Times New Roman" w:hAnsi="Times New Roman" w:cs="Times New Roman"/>
          <w:kern w:val="0"/>
          <w14:ligatures w14:val="none"/>
        </w:rPr>
        <w:t xml:space="preserve"> to both sides. Our recommendation is to </w:t>
      </w:r>
      <w:r w:rsidRPr="003759CB">
        <w:rPr>
          <w:rFonts w:ascii="Times New Roman" w:eastAsia="Times New Roman" w:hAnsi="Times New Roman" w:cs="Times New Roman"/>
          <w:b/>
          <w:bCs/>
          <w:kern w:val="0"/>
          <w14:ligatures w14:val="none"/>
        </w:rPr>
        <w:t>exclude</w:t>
      </w:r>
      <w:r w:rsidRPr="003759CB">
        <w:rPr>
          <w:rFonts w:ascii="Times New Roman" w:eastAsia="Times New Roman" w:hAnsi="Times New Roman" w:cs="Times New Roman"/>
          <w:kern w:val="0"/>
          <w14:ligatures w14:val="none"/>
        </w:rPr>
        <w:t xml:space="preserve"> them — strip out carry, theta, and roll-down — so both streams reflect only pure market moves. That gives us the cleanest comparison.</w:t>
      </w:r>
    </w:p>
    <w:p w14:paraId="637DA56D"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What are "time effects" exactly? Can you give me more examples?</w:t>
      </w:r>
    </w:p>
    <w:p w14:paraId="66402A53"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Sure. Time effects are anything that changes a position's value just because one day passed:</w:t>
      </w:r>
    </w:p>
    <w:p w14:paraId="46A4A94A" w14:textId="77777777" w:rsidR="003759CB" w:rsidRPr="003759CB" w:rsidRDefault="003759CB" w:rsidP="003759C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Carry</w:t>
      </w:r>
      <w:r w:rsidRPr="003759CB">
        <w:rPr>
          <w:rFonts w:ascii="Times New Roman" w:eastAsia="Times New Roman" w:hAnsi="Times New Roman" w:cs="Times New Roman"/>
          <w:kern w:val="0"/>
          <w14:ligatures w14:val="none"/>
        </w:rPr>
        <w:t xml:space="preserve"> (bonds): You earn interest income every day you hold a bond. That's not market risk — that's just the passage of time.</w:t>
      </w:r>
    </w:p>
    <w:p w14:paraId="35FF4E61" w14:textId="77777777" w:rsidR="003759CB" w:rsidRPr="003759CB" w:rsidRDefault="003759CB" w:rsidP="003759C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Roll-down</w:t>
      </w:r>
      <w:r w:rsidRPr="003759CB">
        <w:rPr>
          <w:rFonts w:ascii="Times New Roman" w:eastAsia="Times New Roman" w:hAnsi="Times New Roman" w:cs="Times New Roman"/>
          <w:kern w:val="0"/>
          <w14:ligatures w14:val="none"/>
        </w:rPr>
        <w:t xml:space="preserve"> (interest rates): A 10-year swap becomes a 9-year-and-364-day swap tomorrow. Even if the yield curve doesn't move, the swap's rate changes because it "slid" one day along the curve.</w:t>
      </w:r>
    </w:p>
    <w:p w14:paraId="1E6EB88E" w14:textId="77777777" w:rsidR="003759CB" w:rsidRPr="003759CB" w:rsidRDefault="003759CB" w:rsidP="003759C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Theta decay</w:t>
      </w:r>
      <w:r w:rsidRPr="003759CB">
        <w:rPr>
          <w:rFonts w:ascii="Times New Roman" w:eastAsia="Times New Roman" w:hAnsi="Times New Roman" w:cs="Times New Roman"/>
          <w:kern w:val="0"/>
          <w14:ligatures w14:val="none"/>
        </w:rPr>
        <w:t xml:space="preserve"> (options): An option loses value every day as it gets closer to expiration. If you own a call option with 30 days left, it's worth more than the same option with 29 days left — even if the stock price didn't move.</w:t>
      </w:r>
    </w:p>
    <w:p w14:paraId="18AAE6D8" w14:textId="77777777" w:rsidR="003759CB" w:rsidRPr="003759CB" w:rsidRDefault="003759CB" w:rsidP="003759C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Dividend accrual</w:t>
      </w:r>
      <w:r w:rsidRPr="003759CB">
        <w:rPr>
          <w:rFonts w:ascii="Times New Roman" w:eastAsia="Times New Roman" w:hAnsi="Times New Roman" w:cs="Times New Roman"/>
          <w:kern w:val="0"/>
          <w14:ligatures w14:val="none"/>
        </w:rPr>
        <w:t xml:space="preserve"> (stocks): Expected dividends accumulate day by day. That's a predictable, deterministic value change.</w:t>
      </w:r>
    </w:p>
    <w:p w14:paraId="6F66BC57"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All of these are </w:t>
      </w:r>
      <w:r w:rsidRPr="003759CB">
        <w:rPr>
          <w:rFonts w:ascii="Times New Roman" w:eastAsia="Times New Roman" w:hAnsi="Times New Roman" w:cs="Times New Roman"/>
          <w:b/>
          <w:bCs/>
          <w:kern w:val="0"/>
          <w14:ligatures w14:val="none"/>
        </w:rPr>
        <w:t>predictable</w:t>
      </w:r>
      <w:r w:rsidRPr="003759CB">
        <w:rPr>
          <w:rFonts w:ascii="Times New Roman" w:eastAsia="Times New Roman" w:hAnsi="Times New Roman" w:cs="Times New Roman"/>
          <w:kern w:val="0"/>
          <w14:ligatures w14:val="none"/>
        </w:rPr>
        <w:t xml:space="preserve"> — you can calculate them in advance. They're not market risk. The regulator says we can include or exclude them, but we must be consistent.</w:t>
      </w:r>
    </w:p>
    <w:p w14:paraId="53544792"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pict w14:anchorId="264E65DD">
          <v:rect id="_x0000_i1027" style="width:0;height:1.5pt" o:hralign="center" o:hrstd="t" o:hr="t" fillcolor="#a0a0a0" stroked="f"/>
        </w:pict>
      </w:r>
    </w:p>
    <w:p w14:paraId="634A9084" w14:textId="77777777" w:rsidR="003759CB" w:rsidRPr="003759CB" w:rsidRDefault="003759CB" w:rsidP="003759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9CB">
        <w:rPr>
          <w:rFonts w:ascii="Times New Roman" w:eastAsia="Times New Roman" w:hAnsi="Times New Roman" w:cs="Times New Roman"/>
          <w:b/>
          <w:bCs/>
          <w:kern w:val="0"/>
          <w:sz w:val="36"/>
          <w:szCs w:val="36"/>
          <w14:ligatures w14:val="none"/>
        </w:rPr>
        <w:t xml:space="preserve">Part 3: The Capital Calculation — ES, Not </w:t>
      </w:r>
      <w:proofErr w:type="spellStart"/>
      <w:r w:rsidRPr="003759CB">
        <w:rPr>
          <w:rFonts w:ascii="Times New Roman" w:eastAsia="Times New Roman" w:hAnsi="Times New Roman" w:cs="Times New Roman"/>
          <w:b/>
          <w:bCs/>
          <w:kern w:val="0"/>
          <w:sz w:val="36"/>
          <w:szCs w:val="36"/>
          <w14:ligatures w14:val="none"/>
        </w:rPr>
        <w:t>VaR</w:t>
      </w:r>
      <w:proofErr w:type="spellEnd"/>
    </w:p>
    <w:p w14:paraId="3E97080C"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lastRenderedPageBreak/>
        <w:t xml:space="preserve">Q: You mentioned moving from </w:t>
      </w:r>
      <w:proofErr w:type="spellStart"/>
      <w:r w:rsidRPr="003759CB">
        <w:rPr>
          <w:rFonts w:ascii="Times New Roman" w:eastAsia="Times New Roman" w:hAnsi="Times New Roman" w:cs="Times New Roman"/>
          <w:b/>
          <w:bCs/>
          <w:kern w:val="0"/>
          <w14:ligatures w14:val="none"/>
        </w:rPr>
        <w:t>VaR</w:t>
      </w:r>
      <w:proofErr w:type="spellEnd"/>
      <w:r w:rsidRPr="003759CB">
        <w:rPr>
          <w:rFonts w:ascii="Times New Roman" w:eastAsia="Times New Roman" w:hAnsi="Times New Roman" w:cs="Times New Roman"/>
          <w:b/>
          <w:bCs/>
          <w:kern w:val="0"/>
          <w14:ligatures w14:val="none"/>
        </w:rPr>
        <w:t xml:space="preserve"> to ES. What does that mean?</w:t>
      </w:r>
    </w:p>
    <w:p w14:paraId="431C8402"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Under the old rules, we used </w:t>
      </w:r>
      <w:r w:rsidRPr="003759CB">
        <w:rPr>
          <w:rFonts w:ascii="Times New Roman" w:eastAsia="Times New Roman" w:hAnsi="Times New Roman" w:cs="Times New Roman"/>
          <w:b/>
          <w:bCs/>
          <w:kern w:val="0"/>
          <w14:ligatures w14:val="none"/>
        </w:rPr>
        <w:t>Value at Risk (</w:t>
      </w:r>
      <w:proofErr w:type="spellStart"/>
      <w:r w:rsidRPr="003759CB">
        <w:rPr>
          <w:rFonts w:ascii="Times New Roman" w:eastAsia="Times New Roman" w:hAnsi="Times New Roman" w:cs="Times New Roman"/>
          <w:b/>
          <w:bCs/>
          <w:kern w:val="0"/>
          <w14:ligatures w14:val="none"/>
        </w:rPr>
        <w:t>VaR</w:t>
      </w:r>
      <w:proofErr w:type="spellEnd"/>
      <w:r w:rsidRPr="003759CB">
        <w:rPr>
          <w:rFonts w:ascii="Times New Roman" w:eastAsia="Times New Roman" w:hAnsi="Times New Roman" w:cs="Times New Roman"/>
          <w:b/>
          <w:bCs/>
          <w:kern w:val="0"/>
          <w14:ligatures w14:val="none"/>
        </w:rPr>
        <w:t>)</w:t>
      </w:r>
      <w:r w:rsidRPr="003759CB">
        <w:rPr>
          <w:rFonts w:ascii="Times New Roman" w:eastAsia="Times New Roman" w:hAnsi="Times New Roman" w:cs="Times New Roman"/>
          <w:kern w:val="0"/>
          <w14:ligatures w14:val="none"/>
        </w:rPr>
        <w:t xml:space="preserve"> to measure trading risk. </w:t>
      </w:r>
      <w:proofErr w:type="spellStart"/>
      <w:r w:rsidRPr="003759CB">
        <w:rPr>
          <w:rFonts w:ascii="Times New Roman" w:eastAsia="Times New Roman" w:hAnsi="Times New Roman" w:cs="Times New Roman"/>
          <w:kern w:val="0"/>
          <w14:ligatures w14:val="none"/>
        </w:rPr>
        <w:t>VaR</w:t>
      </w:r>
      <w:proofErr w:type="spellEnd"/>
      <w:r w:rsidRPr="003759CB">
        <w:rPr>
          <w:rFonts w:ascii="Times New Roman" w:eastAsia="Times New Roman" w:hAnsi="Times New Roman" w:cs="Times New Roman"/>
          <w:kern w:val="0"/>
          <w14:ligatures w14:val="none"/>
        </w:rPr>
        <w:t xml:space="preserve"> answers the question: "What's the worst loss we'd expect on 99 out of 100 days?"</w:t>
      </w:r>
    </w:p>
    <w:p w14:paraId="38011DCA"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Think of it like this: if you have 100 days of trading results sorted from worst to best, </w:t>
      </w:r>
      <w:proofErr w:type="spellStart"/>
      <w:r w:rsidRPr="003759CB">
        <w:rPr>
          <w:rFonts w:ascii="Times New Roman" w:eastAsia="Times New Roman" w:hAnsi="Times New Roman" w:cs="Times New Roman"/>
          <w:kern w:val="0"/>
          <w14:ligatures w14:val="none"/>
        </w:rPr>
        <w:t>VaR</w:t>
      </w:r>
      <w:proofErr w:type="spellEnd"/>
      <w:r w:rsidRPr="003759CB">
        <w:rPr>
          <w:rFonts w:ascii="Times New Roman" w:eastAsia="Times New Roman" w:hAnsi="Times New Roman" w:cs="Times New Roman"/>
          <w:kern w:val="0"/>
          <w14:ligatures w14:val="none"/>
        </w:rPr>
        <w:t xml:space="preserve"> says "the second-worst day is your risk number." It tells you where the boundary is, but nothing about what happens beyond it.</w:t>
      </w:r>
    </w:p>
    <w:p w14:paraId="1DE098CA"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Expected Shortfall (ES)</w:t>
      </w:r>
      <w:r w:rsidRPr="003759CB">
        <w:rPr>
          <w:rFonts w:ascii="Times New Roman" w:eastAsia="Times New Roman" w:hAnsi="Times New Roman" w:cs="Times New Roman"/>
          <w:kern w:val="0"/>
          <w14:ligatures w14:val="none"/>
        </w:rPr>
        <w:t xml:space="preserve"> is the replacement. It asks a better question: "When we DO have a bad day — one of those worst days — how bad is it on average?"</w:t>
      </w:r>
    </w:p>
    <w:p w14:paraId="4C523F05"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Going back to our 100 days: ES looks at the </w:t>
      </w:r>
      <w:r w:rsidRPr="003759CB">
        <w:rPr>
          <w:rFonts w:ascii="Times New Roman" w:eastAsia="Times New Roman" w:hAnsi="Times New Roman" w:cs="Times New Roman"/>
          <w:b/>
          <w:bCs/>
          <w:kern w:val="0"/>
          <w14:ligatures w14:val="none"/>
        </w:rPr>
        <w:t>worst 2 or 3 days</w:t>
      </w:r>
      <w:r w:rsidRPr="003759CB">
        <w:rPr>
          <w:rFonts w:ascii="Times New Roman" w:eastAsia="Times New Roman" w:hAnsi="Times New Roman" w:cs="Times New Roman"/>
          <w:kern w:val="0"/>
          <w14:ligatures w14:val="none"/>
        </w:rPr>
        <w:t xml:space="preserve"> and takes the </w:t>
      </w:r>
      <w:r w:rsidRPr="003759CB">
        <w:rPr>
          <w:rFonts w:ascii="Times New Roman" w:eastAsia="Times New Roman" w:hAnsi="Times New Roman" w:cs="Times New Roman"/>
          <w:b/>
          <w:bCs/>
          <w:kern w:val="0"/>
          <w14:ligatures w14:val="none"/>
        </w:rPr>
        <w:t>average</w:t>
      </w:r>
      <w:r w:rsidRPr="003759CB">
        <w:rPr>
          <w:rFonts w:ascii="Times New Roman" w:eastAsia="Times New Roman" w:hAnsi="Times New Roman" w:cs="Times New Roman"/>
          <w:kern w:val="0"/>
          <w14:ligatures w14:val="none"/>
        </w:rPr>
        <w:t xml:space="preserve"> of those losses. It doesn't just tell you where the cliff edge is — it tells you how far you fall.</w:t>
      </w:r>
    </w:p>
    <w:p w14:paraId="0A488128"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Why is ES better?</w:t>
      </w:r>
    </w:p>
    <w:p w14:paraId="1A8F82F2"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Because </w:t>
      </w:r>
      <w:proofErr w:type="spellStart"/>
      <w:r w:rsidRPr="003759CB">
        <w:rPr>
          <w:rFonts w:ascii="Times New Roman" w:eastAsia="Times New Roman" w:hAnsi="Times New Roman" w:cs="Times New Roman"/>
          <w:kern w:val="0"/>
          <w14:ligatures w14:val="none"/>
        </w:rPr>
        <w:t>VaR</w:t>
      </w:r>
      <w:proofErr w:type="spellEnd"/>
      <w:r w:rsidRPr="003759CB">
        <w:rPr>
          <w:rFonts w:ascii="Times New Roman" w:eastAsia="Times New Roman" w:hAnsi="Times New Roman" w:cs="Times New Roman"/>
          <w:kern w:val="0"/>
          <w14:ligatures w14:val="none"/>
        </w:rPr>
        <w:t xml:space="preserve"> can miss tail risk. Two portfolios can have the same </w:t>
      </w:r>
      <w:proofErr w:type="spellStart"/>
      <w:r w:rsidRPr="003759CB">
        <w:rPr>
          <w:rFonts w:ascii="Times New Roman" w:eastAsia="Times New Roman" w:hAnsi="Times New Roman" w:cs="Times New Roman"/>
          <w:kern w:val="0"/>
          <w14:ligatures w14:val="none"/>
        </w:rPr>
        <w:t>VaR</w:t>
      </w:r>
      <w:proofErr w:type="spellEnd"/>
      <w:r w:rsidRPr="003759CB">
        <w:rPr>
          <w:rFonts w:ascii="Times New Roman" w:eastAsia="Times New Roman" w:hAnsi="Times New Roman" w:cs="Times New Roman"/>
          <w:kern w:val="0"/>
          <w14:ligatures w14:val="none"/>
        </w:rPr>
        <w:t xml:space="preserve"> but very different tail losses. Portfolio A might lose $10M on its worst day. Portfolio B might lose $100M. If their second-worst days are similar, </w:t>
      </w:r>
      <w:proofErr w:type="spellStart"/>
      <w:r w:rsidRPr="003759CB">
        <w:rPr>
          <w:rFonts w:ascii="Times New Roman" w:eastAsia="Times New Roman" w:hAnsi="Times New Roman" w:cs="Times New Roman"/>
          <w:kern w:val="0"/>
          <w14:ligatures w14:val="none"/>
        </w:rPr>
        <w:t>VaR</w:t>
      </w:r>
      <w:proofErr w:type="spellEnd"/>
      <w:r w:rsidRPr="003759CB">
        <w:rPr>
          <w:rFonts w:ascii="Times New Roman" w:eastAsia="Times New Roman" w:hAnsi="Times New Roman" w:cs="Times New Roman"/>
          <w:kern w:val="0"/>
          <w14:ligatures w14:val="none"/>
        </w:rPr>
        <w:t xml:space="preserve"> says they have the same risk — which is clearly wrong. ES captures that difference.</w:t>
      </w:r>
    </w:p>
    <w:p w14:paraId="0E9F4639"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What about the "stressed" part?</w:t>
      </w:r>
    </w:p>
    <w:p w14:paraId="0F55B70D"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The regulator doesn't just want us to measure ES using recent market data. They also want us to calibrate it to a </w:t>
      </w:r>
      <w:r w:rsidRPr="003759CB">
        <w:rPr>
          <w:rFonts w:ascii="Times New Roman" w:eastAsia="Times New Roman" w:hAnsi="Times New Roman" w:cs="Times New Roman"/>
          <w:b/>
          <w:bCs/>
          <w:kern w:val="0"/>
          <w14:ligatures w14:val="none"/>
        </w:rPr>
        <w:t>stress period</w:t>
      </w:r>
      <w:r w:rsidRPr="003759CB">
        <w:rPr>
          <w:rFonts w:ascii="Times New Roman" w:eastAsia="Times New Roman" w:hAnsi="Times New Roman" w:cs="Times New Roman"/>
          <w:kern w:val="0"/>
          <w14:ligatures w14:val="none"/>
        </w:rPr>
        <w:t xml:space="preserve"> — the worst 12-month window we can find, going back to at least 2007 (the financial crisis). This way, the capital charge reflects not just today's market conditions, but also what could happen in a crisis.</w:t>
      </w:r>
    </w:p>
    <w:p w14:paraId="665C25FE"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You mentioned IMCC and SES. What are those?</w:t>
      </w:r>
    </w:p>
    <w:p w14:paraId="782A6AEB"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These are the two components of the IMA capital charge:</w:t>
      </w:r>
    </w:p>
    <w:p w14:paraId="0E54BDEC" w14:textId="77777777" w:rsidR="003759CB" w:rsidRPr="003759CB" w:rsidRDefault="003759CB" w:rsidP="003759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IMCC (Internal Models Capital Charge)</w:t>
      </w:r>
      <w:r w:rsidRPr="003759CB">
        <w:rPr>
          <w:rFonts w:ascii="Times New Roman" w:eastAsia="Times New Roman" w:hAnsi="Times New Roman" w:cs="Times New Roman"/>
          <w:kern w:val="0"/>
          <w14:ligatures w14:val="none"/>
        </w:rPr>
        <w:t xml:space="preserve"> — This is the ES-based capital charge for risk factors that passed the eligibility test (modellable risk factors). It captures diversification — meaning hedges and offsets between positions reduce the capital charge. This is the "reward" for proving your risk factors are good.</w:t>
      </w:r>
    </w:p>
    <w:p w14:paraId="6406C6A5" w14:textId="77777777" w:rsidR="003759CB" w:rsidRPr="003759CB" w:rsidRDefault="003759CB" w:rsidP="003759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SES (Stressed Expected Shortfall)</w:t>
      </w:r>
      <w:r w:rsidRPr="003759CB">
        <w:rPr>
          <w:rFonts w:ascii="Times New Roman" w:eastAsia="Times New Roman" w:hAnsi="Times New Roman" w:cs="Times New Roman"/>
          <w:kern w:val="0"/>
          <w14:ligatures w14:val="none"/>
        </w:rPr>
        <w:t xml:space="preserve"> — This is the </w:t>
      </w:r>
      <w:r w:rsidRPr="003759CB">
        <w:rPr>
          <w:rFonts w:ascii="Times New Roman" w:eastAsia="Times New Roman" w:hAnsi="Times New Roman" w:cs="Times New Roman"/>
          <w:b/>
          <w:bCs/>
          <w:kern w:val="0"/>
          <w14:ligatures w14:val="none"/>
        </w:rPr>
        <w:t>penalty</w:t>
      </w:r>
      <w:r w:rsidRPr="003759CB">
        <w:rPr>
          <w:rFonts w:ascii="Times New Roman" w:eastAsia="Times New Roman" w:hAnsi="Times New Roman" w:cs="Times New Roman"/>
          <w:kern w:val="0"/>
          <w14:ligatures w14:val="none"/>
        </w:rPr>
        <w:t xml:space="preserve"> for risk factors that failed the eligibility test (non-modellable risk factors). These get charged separately with limited or no diversification benefit. Think of it as a surcharge.</w:t>
      </w:r>
    </w:p>
    <w:p w14:paraId="72FFA5D1"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Total IMA capital = IMCC + SES. The more risk factors you can prove are modellable, the more goes into IMCC (with diversification) and the less goes into SES (with penalties).</w:t>
      </w:r>
    </w:p>
    <w:p w14:paraId="5489491F"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pict w14:anchorId="28A69306">
          <v:rect id="_x0000_i1028" style="width:0;height:1.5pt" o:hralign="center" o:hrstd="t" o:hr="t" fillcolor="#a0a0a0" stroked="f"/>
        </w:pict>
      </w:r>
    </w:p>
    <w:p w14:paraId="31C71064" w14:textId="77777777" w:rsidR="003759CB" w:rsidRPr="003759CB" w:rsidRDefault="003759CB" w:rsidP="003759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9CB">
        <w:rPr>
          <w:rFonts w:ascii="Times New Roman" w:eastAsia="Times New Roman" w:hAnsi="Times New Roman" w:cs="Times New Roman"/>
          <w:b/>
          <w:bCs/>
          <w:kern w:val="0"/>
          <w:sz w:val="36"/>
          <w:szCs w:val="36"/>
          <w14:ligatures w14:val="none"/>
        </w:rPr>
        <w:lastRenderedPageBreak/>
        <w:t>Part 4: Risk Factor Eligibility — Proving Your Data Is Good</w:t>
      </w:r>
    </w:p>
    <w:p w14:paraId="3CCC95E9"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Wait — what do you mean "risk factors must be eligible"? What's a risk factor?</w:t>
      </w:r>
    </w:p>
    <w:p w14:paraId="0F9FCD5C"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A risk factor is any market variable that affects the value of your trading positions. Examples:</w:t>
      </w:r>
    </w:p>
    <w:p w14:paraId="0096015E" w14:textId="77777777" w:rsidR="003759CB" w:rsidRPr="003759CB" w:rsidRDefault="003759CB" w:rsidP="003759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The 10-year US Treasury yield</w:t>
      </w:r>
    </w:p>
    <w:p w14:paraId="15BF1671" w14:textId="77777777" w:rsidR="003759CB" w:rsidRPr="003759CB" w:rsidRDefault="003759CB" w:rsidP="003759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The EUR/USD exchange rate</w:t>
      </w:r>
    </w:p>
    <w:p w14:paraId="5ECCB5BB" w14:textId="77777777" w:rsidR="003759CB" w:rsidRPr="003759CB" w:rsidRDefault="003759CB" w:rsidP="003759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Apple's stock price</w:t>
      </w:r>
    </w:p>
    <w:p w14:paraId="6E64B39D" w14:textId="77777777" w:rsidR="003759CB" w:rsidRPr="003759CB" w:rsidRDefault="003759CB" w:rsidP="003759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The implied volatility of S&amp;P 500 options at a specific strike and maturity</w:t>
      </w:r>
    </w:p>
    <w:p w14:paraId="284B8D1E" w14:textId="77777777" w:rsidR="003759CB" w:rsidRPr="003759CB" w:rsidRDefault="003759CB" w:rsidP="003759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The CDS spread of a particular corporate issuer</w:t>
      </w:r>
    </w:p>
    <w:p w14:paraId="75716DC5"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A large trading book might have 35,000 of these. Each position is sensitive to one or more risk factors.</w:t>
      </w:r>
    </w:p>
    <w:p w14:paraId="1B8D0F69"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And the regulator wants us to prove each one is "eligible"?</w:t>
      </w:r>
    </w:p>
    <w:p w14:paraId="0D94F7E7"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Exactly. The regulator says: "Before you use a risk factor in your fancy model, prove to me that you have </w:t>
      </w:r>
      <w:r w:rsidRPr="003759CB">
        <w:rPr>
          <w:rFonts w:ascii="Times New Roman" w:eastAsia="Times New Roman" w:hAnsi="Times New Roman" w:cs="Times New Roman"/>
          <w:b/>
          <w:bCs/>
          <w:kern w:val="0"/>
          <w14:ligatures w14:val="none"/>
        </w:rPr>
        <w:t>good data</w:t>
      </w:r>
      <w:r w:rsidRPr="003759CB">
        <w:rPr>
          <w:rFonts w:ascii="Times New Roman" w:eastAsia="Times New Roman" w:hAnsi="Times New Roman" w:cs="Times New Roman"/>
          <w:kern w:val="0"/>
          <w14:ligatures w14:val="none"/>
        </w:rPr>
        <w:t xml:space="preserve"> for it." They don't just trust your data — you have to pass two specific tests.</w:t>
      </w:r>
    </w:p>
    <w:p w14:paraId="26F71AB5"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What are the two tests?</w:t>
      </w:r>
    </w:p>
    <w:p w14:paraId="70C857A9"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Test 1 — Qualitative (Is the data trustworthy?)</w:t>
      </w:r>
    </w:p>
    <w:p w14:paraId="50D7DA4A"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This checks whether the data behind each risk factor meets seven quality standards:</w:t>
      </w:r>
    </w:p>
    <w:p w14:paraId="03DE384E" w14:textId="77777777" w:rsidR="003759CB" w:rsidRPr="003759CB" w:rsidRDefault="003759CB" w:rsidP="003759C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Does it reflect real market prices from actual transactions?</w:t>
      </w:r>
    </w:p>
    <w:p w14:paraId="7F22BFA1" w14:textId="77777777" w:rsidR="003759CB" w:rsidRPr="003759CB" w:rsidRDefault="003759CB" w:rsidP="003759C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Is it updated frequently enough (at least weekly)?</w:t>
      </w:r>
    </w:p>
    <w:p w14:paraId="731E85A3" w14:textId="77777777" w:rsidR="003759CB" w:rsidRPr="003759CB" w:rsidRDefault="003759CB" w:rsidP="003759C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Does it capture the risk factor's volatility and correlations accurately?</w:t>
      </w:r>
    </w:p>
    <w:p w14:paraId="74F9ABAF" w14:textId="77777777" w:rsidR="003759CB" w:rsidRPr="003759CB" w:rsidRDefault="003759CB" w:rsidP="003759C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If you're using a proxy (substituting a similar risk factor because you don't have direct data), is the proxy justified with a track record?</w:t>
      </w:r>
    </w:p>
    <w:p w14:paraId="293C40F3"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Think of it as a data quality audit. The regulator wants to know: is this real data from real markets, or is it stale, model-derived, or made up?</w:t>
      </w:r>
    </w:p>
    <w:p w14:paraId="0794852B"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Test 2 — Quantitative (Is there enough data?)</w:t>
      </w:r>
    </w:p>
    <w:p w14:paraId="67C582C2"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This is pure counting. Over the last 12 months, how many </w:t>
      </w:r>
      <w:r w:rsidRPr="003759CB">
        <w:rPr>
          <w:rFonts w:ascii="Times New Roman" w:eastAsia="Times New Roman" w:hAnsi="Times New Roman" w:cs="Times New Roman"/>
          <w:b/>
          <w:bCs/>
          <w:kern w:val="0"/>
          <w14:ligatures w14:val="none"/>
        </w:rPr>
        <w:t>real price observations</w:t>
      </w:r>
      <w:r w:rsidRPr="003759CB">
        <w:rPr>
          <w:rFonts w:ascii="Times New Roman" w:eastAsia="Times New Roman" w:hAnsi="Times New Roman" w:cs="Times New Roman"/>
          <w:kern w:val="0"/>
          <w14:ligatures w14:val="none"/>
        </w:rPr>
        <w:t xml:space="preserve"> do you have for this risk factor? Not model prices — actual transactions, firm bids, or committed offers.</w:t>
      </w:r>
    </w:p>
    <w:p w14:paraId="1F3638E6"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The thresholds depend on how liquid the risk factor is:</w:t>
      </w:r>
    </w:p>
    <w:p w14:paraId="7E31A305" w14:textId="77777777" w:rsidR="003759CB" w:rsidRPr="003759CB" w:rsidRDefault="003759CB" w:rsidP="003759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For liquid risk factors (like major FX rates): at least </w:t>
      </w:r>
      <w:r w:rsidRPr="003759CB">
        <w:rPr>
          <w:rFonts w:ascii="Times New Roman" w:eastAsia="Times New Roman" w:hAnsi="Times New Roman" w:cs="Times New Roman"/>
          <w:b/>
          <w:bCs/>
          <w:kern w:val="0"/>
          <w14:ligatures w14:val="none"/>
        </w:rPr>
        <w:t>24 real prices per year</w:t>
      </w:r>
      <w:r w:rsidRPr="003759CB">
        <w:rPr>
          <w:rFonts w:ascii="Times New Roman" w:eastAsia="Times New Roman" w:hAnsi="Times New Roman" w:cs="Times New Roman"/>
          <w:kern w:val="0"/>
          <w14:ligatures w14:val="none"/>
        </w:rPr>
        <w:t xml:space="preserve"> (~2 per month)</w:t>
      </w:r>
    </w:p>
    <w:p w14:paraId="5148045B" w14:textId="77777777" w:rsidR="003759CB" w:rsidRPr="003759CB" w:rsidRDefault="003759CB" w:rsidP="003759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For less liquid risk factors (like exotic credit spreads): at least </w:t>
      </w:r>
      <w:r w:rsidRPr="003759CB">
        <w:rPr>
          <w:rFonts w:ascii="Times New Roman" w:eastAsia="Times New Roman" w:hAnsi="Times New Roman" w:cs="Times New Roman"/>
          <w:b/>
          <w:bCs/>
          <w:kern w:val="0"/>
          <w14:ligatures w14:val="none"/>
        </w:rPr>
        <w:t>16 real prices per year</w:t>
      </w:r>
      <w:r w:rsidRPr="003759CB">
        <w:rPr>
          <w:rFonts w:ascii="Times New Roman" w:eastAsia="Times New Roman" w:hAnsi="Times New Roman" w:cs="Times New Roman"/>
          <w:kern w:val="0"/>
          <w14:ligatures w14:val="none"/>
        </w:rPr>
        <w:t xml:space="preserve"> (~1.3 per month)</w:t>
      </w:r>
    </w:p>
    <w:p w14:paraId="52DBF58B" w14:textId="77777777" w:rsidR="003759CB" w:rsidRPr="003759CB" w:rsidRDefault="003759CB" w:rsidP="003759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lastRenderedPageBreak/>
        <w:t>Maximum one observation per day — you can't stack up 10 quotes from the same day</w:t>
      </w:r>
    </w:p>
    <w:p w14:paraId="5B67B135"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What happens based on the results?</w:t>
      </w:r>
    </w:p>
    <w:p w14:paraId="340624AF"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Three possible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1522"/>
        <w:gridCol w:w="5089"/>
      </w:tblGrid>
      <w:tr w:rsidR="003759CB" w:rsidRPr="003759CB" w14:paraId="358CF849" w14:textId="77777777">
        <w:trPr>
          <w:tblHeader/>
          <w:tblCellSpacing w:w="15" w:type="dxa"/>
        </w:trPr>
        <w:tc>
          <w:tcPr>
            <w:tcW w:w="0" w:type="auto"/>
            <w:vAlign w:val="center"/>
            <w:hideMark/>
          </w:tcPr>
          <w:p w14:paraId="6ABA0CA9" w14:textId="77777777" w:rsidR="003759CB" w:rsidRPr="003759CB" w:rsidRDefault="003759CB" w:rsidP="003759CB">
            <w:pPr>
              <w:spacing w:after="0" w:line="240" w:lineRule="auto"/>
              <w:jc w:val="center"/>
              <w:rPr>
                <w:rFonts w:ascii="Times New Roman" w:eastAsia="Times New Roman" w:hAnsi="Times New Roman" w:cs="Times New Roman"/>
                <w:b/>
                <w:bCs/>
                <w:kern w:val="0"/>
                <w14:ligatures w14:val="none"/>
              </w:rPr>
            </w:pPr>
            <w:r w:rsidRPr="003759CB">
              <w:rPr>
                <w:rFonts w:ascii="Times New Roman" w:eastAsia="Times New Roman" w:hAnsi="Times New Roman" w:cs="Times New Roman"/>
                <w:b/>
                <w:bCs/>
                <w:kern w:val="0"/>
                <w14:ligatures w14:val="none"/>
              </w:rPr>
              <w:t>Result</w:t>
            </w:r>
          </w:p>
        </w:tc>
        <w:tc>
          <w:tcPr>
            <w:tcW w:w="0" w:type="auto"/>
            <w:vAlign w:val="center"/>
            <w:hideMark/>
          </w:tcPr>
          <w:p w14:paraId="7E84AD58" w14:textId="77777777" w:rsidR="003759CB" w:rsidRPr="003759CB" w:rsidRDefault="003759CB" w:rsidP="003759CB">
            <w:pPr>
              <w:spacing w:after="0" w:line="240" w:lineRule="auto"/>
              <w:jc w:val="center"/>
              <w:rPr>
                <w:rFonts w:ascii="Times New Roman" w:eastAsia="Times New Roman" w:hAnsi="Times New Roman" w:cs="Times New Roman"/>
                <w:b/>
                <w:bCs/>
                <w:kern w:val="0"/>
                <w14:ligatures w14:val="none"/>
              </w:rPr>
            </w:pPr>
            <w:r w:rsidRPr="003759CB">
              <w:rPr>
                <w:rFonts w:ascii="Times New Roman" w:eastAsia="Times New Roman" w:hAnsi="Times New Roman" w:cs="Times New Roman"/>
                <w:b/>
                <w:bCs/>
                <w:kern w:val="0"/>
                <w14:ligatures w14:val="none"/>
              </w:rPr>
              <w:t>Classification</w:t>
            </w:r>
          </w:p>
        </w:tc>
        <w:tc>
          <w:tcPr>
            <w:tcW w:w="0" w:type="auto"/>
            <w:vAlign w:val="center"/>
            <w:hideMark/>
          </w:tcPr>
          <w:p w14:paraId="42FB1622" w14:textId="77777777" w:rsidR="003759CB" w:rsidRPr="003759CB" w:rsidRDefault="003759CB" w:rsidP="003759CB">
            <w:pPr>
              <w:spacing w:after="0" w:line="240" w:lineRule="auto"/>
              <w:jc w:val="center"/>
              <w:rPr>
                <w:rFonts w:ascii="Times New Roman" w:eastAsia="Times New Roman" w:hAnsi="Times New Roman" w:cs="Times New Roman"/>
                <w:b/>
                <w:bCs/>
                <w:kern w:val="0"/>
                <w14:ligatures w14:val="none"/>
              </w:rPr>
            </w:pPr>
            <w:r w:rsidRPr="003759CB">
              <w:rPr>
                <w:rFonts w:ascii="Times New Roman" w:eastAsia="Times New Roman" w:hAnsi="Times New Roman" w:cs="Times New Roman"/>
                <w:b/>
                <w:bCs/>
                <w:kern w:val="0"/>
                <w14:ligatures w14:val="none"/>
              </w:rPr>
              <w:t>What It Means for Capital</w:t>
            </w:r>
          </w:p>
        </w:tc>
      </w:tr>
      <w:tr w:rsidR="003759CB" w:rsidRPr="003759CB" w14:paraId="0F85D96D" w14:textId="77777777">
        <w:trPr>
          <w:tblCellSpacing w:w="15" w:type="dxa"/>
        </w:trPr>
        <w:tc>
          <w:tcPr>
            <w:tcW w:w="0" w:type="auto"/>
            <w:vAlign w:val="center"/>
            <w:hideMark/>
          </w:tcPr>
          <w:p w14:paraId="7C1DCB81"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Pass both tests</w:t>
            </w:r>
          </w:p>
        </w:tc>
        <w:tc>
          <w:tcPr>
            <w:tcW w:w="0" w:type="auto"/>
            <w:vAlign w:val="center"/>
            <w:hideMark/>
          </w:tcPr>
          <w:p w14:paraId="1E14FC8A"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Modellable</w:t>
            </w:r>
          </w:p>
        </w:tc>
        <w:tc>
          <w:tcPr>
            <w:tcW w:w="0" w:type="auto"/>
            <w:vAlign w:val="center"/>
            <w:hideMark/>
          </w:tcPr>
          <w:p w14:paraId="26290A88"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Goes into ES model with full diversification. Cheapest capital.</w:t>
            </w:r>
          </w:p>
        </w:tc>
      </w:tr>
      <w:tr w:rsidR="003759CB" w:rsidRPr="003759CB" w14:paraId="05F76051" w14:textId="77777777">
        <w:trPr>
          <w:tblCellSpacing w:w="15" w:type="dxa"/>
        </w:trPr>
        <w:tc>
          <w:tcPr>
            <w:tcW w:w="0" w:type="auto"/>
            <w:vAlign w:val="center"/>
            <w:hideMark/>
          </w:tcPr>
          <w:p w14:paraId="1CF2F228"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Pass qualitative, fail quantitative</w:t>
            </w:r>
          </w:p>
        </w:tc>
        <w:tc>
          <w:tcPr>
            <w:tcW w:w="0" w:type="auto"/>
            <w:vAlign w:val="center"/>
            <w:hideMark/>
          </w:tcPr>
          <w:p w14:paraId="2F40ADEB"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Type A NMRF</w:t>
            </w:r>
          </w:p>
        </w:tc>
        <w:tc>
          <w:tcPr>
            <w:tcW w:w="0" w:type="auto"/>
            <w:vAlign w:val="center"/>
            <w:hideMark/>
          </w:tcPr>
          <w:p w14:paraId="5F5CCB7D"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Gets a capital penalty, but with partial diversification (correlation = 0.36).</w:t>
            </w:r>
          </w:p>
        </w:tc>
      </w:tr>
      <w:tr w:rsidR="003759CB" w:rsidRPr="003759CB" w14:paraId="55530919" w14:textId="77777777">
        <w:trPr>
          <w:tblCellSpacing w:w="15" w:type="dxa"/>
        </w:trPr>
        <w:tc>
          <w:tcPr>
            <w:tcW w:w="0" w:type="auto"/>
            <w:vAlign w:val="center"/>
            <w:hideMark/>
          </w:tcPr>
          <w:p w14:paraId="7E36B819"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Fail qualitative (regardless of quantitative)</w:t>
            </w:r>
          </w:p>
        </w:tc>
        <w:tc>
          <w:tcPr>
            <w:tcW w:w="0" w:type="auto"/>
            <w:vAlign w:val="center"/>
            <w:hideMark/>
          </w:tcPr>
          <w:p w14:paraId="14418B86"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Type B NMRF</w:t>
            </w:r>
          </w:p>
        </w:tc>
        <w:tc>
          <w:tcPr>
            <w:tcW w:w="0" w:type="auto"/>
            <w:vAlign w:val="center"/>
            <w:hideMark/>
          </w:tcPr>
          <w:p w14:paraId="319251A6"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Gets the maximum capital penalty. No diversification at all. Each one just stacks on top.</w:t>
            </w:r>
          </w:p>
        </w:tc>
      </w:tr>
    </w:tbl>
    <w:p w14:paraId="6D90DBF8"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That last one sounds expensive.</w:t>
      </w:r>
    </w:p>
    <w:p w14:paraId="6953BBC4"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It is. If you have 10 Type B non-modellable risk factors, you pay 10 times the capital of having one. No offset, no hedging benefit, no diversification. The regulator is saying: "If I can't trust your data quality, I'm not going to give you any benefit of the doubt."</w:t>
      </w:r>
    </w:p>
    <w:p w14:paraId="4C574603"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And this classification isn't permanent?</w:t>
      </w:r>
    </w:p>
    <w:p w14:paraId="4B25CBF0"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No — it must be refreshed </w:t>
      </w:r>
      <w:r w:rsidRPr="003759CB">
        <w:rPr>
          <w:rFonts w:ascii="Times New Roman" w:eastAsia="Times New Roman" w:hAnsi="Times New Roman" w:cs="Times New Roman"/>
          <w:b/>
          <w:bCs/>
          <w:kern w:val="0"/>
          <w14:ligatures w14:val="none"/>
        </w:rPr>
        <w:t>at least quarterly</w:t>
      </w:r>
      <w:r w:rsidRPr="003759CB">
        <w:rPr>
          <w:rFonts w:ascii="Times New Roman" w:eastAsia="Times New Roman" w:hAnsi="Times New Roman" w:cs="Times New Roman"/>
          <w:kern w:val="0"/>
          <w14:ligatures w14:val="none"/>
        </w:rPr>
        <w:t>. A risk factor that was modellable last quarter can lose that status if data quality degrades or real price observations dry up. It's an ongoing obligation.</w:t>
      </w:r>
    </w:p>
    <w:p w14:paraId="040D90C8"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pict w14:anchorId="19630873">
          <v:rect id="_x0000_i1029" style="width:0;height:1.5pt" o:hralign="center" o:hrstd="t" o:hr="t" fillcolor="#a0a0a0" stroked="f"/>
        </w:pict>
      </w:r>
    </w:p>
    <w:p w14:paraId="1777ECED" w14:textId="77777777" w:rsidR="003759CB" w:rsidRPr="003759CB" w:rsidRDefault="003759CB" w:rsidP="003759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9CB">
        <w:rPr>
          <w:rFonts w:ascii="Times New Roman" w:eastAsia="Times New Roman" w:hAnsi="Times New Roman" w:cs="Times New Roman"/>
          <w:b/>
          <w:bCs/>
          <w:kern w:val="0"/>
          <w:sz w:val="36"/>
          <w:szCs w:val="36"/>
          <w14:ligatures w14:val="none"/>
        </w:rPr>
        <w:t>Part 5: Liquidity Horizons — Not All Risk Factors Are Equal</w:t>
      </w:r>
    </w:p>
    <w:p w14:paraId="6EC8F046"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You mentioned liquidity horizons earlier. What are those?</w:t>
      </w:r>
    </w:p>
    <w:p w14:paraId="2DB6A5C4"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The regulator says: not all risk factors can be exited equally fast. If you own a large-cap stock, you can sell it in a day. If you own an exotic credit derivative, it might take months to unwind.</w:t>
      </w:r>
    </w:p>
    <w:p w14:paraId="53021F40"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The </w:t>
      </w:r>
      <w:r w:rsidRPr="003759CB">
        <w:rPr>
          <w:rFonts w:ascii="Times New Roman" w:eastAsia="Times New Roman" w:hAnsi="Times New Roman" w:cs="Times New Roman"/>
          <w:b/>
          <w:bCs/>
          <w:kern w:val="0"/>
          <w14:ligatures w14:val="none"/>
        </w:rPr>
        <w:t>liquidity horizon</w:t>
      </w:r>
      <w:r w:rsidRPr="003759CB">
        <w:rPr>
          <w:rFonts w:ascii="Times New Roman" w:eastAsia="Times New Roman" w:hAnsi="Times New Roman" w:cs="Times New Roman"/>
          <w:kern w:val="0"/>
          <w14:ligatures w14:val="none"/>
        </w:rPr>
        <w:t xml:space="preserve"> is the number of days the regulator assumes it would take to exit a position in that risk factor during stressed market conditions. There are five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2886"/>
        <w:gridCol w:w="1816"/>
      </w:tblGrid>
      <w:tr w:rsidR="003759CB" w:rsidRPr="003759CB" w14:paraId="5869E98B" w14:textId="77777777">
        <w:trPr>
          <w:tblHeader/>
          <w:tblCellSpacing w:w="15" w:type="dxa"/>
        </w:trPr>
        <w:tc>
          <w:tcPr>
            <w:tcW w:w="0" w:type="auto"/>
            <w:vAlign w:val="center"/>
            <w:hideMark/>
          </w:tcPr>
          <w:p w14:paraId="1375CC4B" w14:textId="77777777" w:rsidR="003759CB" w:rsidRPr="003759CB" w:rsidRDefault="003759CB" w:rsidP="003759CB">
            <w:pPr>
              <w:spacing w:after="0" w:line="240" w:lineRule="auto"/>
              <w:jc w:val="center"/>
              <w:rPr>
                <w:rFonts w:ascii="Times New Roman" w:eastAsia="Times New Roman" w:hAnsi="Times New Roman" w:cs="Times New Roman"/>
                <w:b/>
                <w:bCs/>
                <w:kern w:val="0"/>
                <w14:ligatures w14:val="none"/>
              </w:rPr>
            </w:pPr>
            <w:r w:rsidRPr="003759CB">
              <w:rPr>
                <w:rFonts w:ascii="Times New Roman" w:eastAsia="Times New Roman" w:hAnsi="Times New Roman" w:cs="Times New Roman"/>
                <w:b/>
                <w:bCs/>
                <w:kern w:val="0"/>
                <w14:ligatures w14:val="none"/>
              </w:rPr>
              <w:t>Liquidity Horizon</w:t>
            </w:r>
          </w:p>
        </w:tc>
        <w:tc>
          <w:tcPr>
            <w:tcW w:w="0" w:type="auto"/>
            <w:vAlign w:val="center"/>
            <w:hideMark/>
          </w:tcPr>
          <w:p w14:paraId="292B1E42" w14:textId="77777777" w:rsidR="003759CB" w:rsidRPr="003759CB" w:rsidRDefault="003759CB" w:rsidP="003759CB">
            <w:pPr>
              <w:spacing w:after="0" w:line="240" w:lineRule="auto"/>
              <w:jc w:val="center"/>
              <w:rPr>
                <w:rFonts w:ascii="Times New Roman" w:eastAsia="Times New Roman" w:hAnsi="Times New Roman" w:cs="Times New Roman"/>
                <w:b/>
                <w:bCs/>
                <w:kern w:val="0"/>
                <w14:ligatures w14:val="none"/>
              </w:rPr>
            </w:pPr>
            <w:r w:rsidRPr="003759CB">
              <w:rPr>
                <w:rFonts w:ascii="Times New Roman" w:eastAsia="Times New Roman" w:hAnsi="Times New Roman" w:cs="Times New Roman"/>
                <w:b/>
                <w:bCs/>
                <w:kern w:val="0"/>
                <w14:ligatures w14:val="none"/>
              </w:rPr>
              <w:t>Example</w:t>
            </w:r>
          </w:p>
        </w:tc>
        <w:tc>
          <w:tcPr>
            <w:tcW w:w="0" w:type="auto"/>
            <w:vAlign w:val="center"/>
            <w:hideMark/>
          </w:tcPr>
          <w:p w14:paraId="7634889D" w14:textId="77777777" w:rsidR="003759CB" w:rsidRPr="003759CB" w:rsidRDefault="003759CB" w:rsidP="003759CB">
            <w:pPr>
              <w:spacing w:after="0" w:line="240" w:lineRule="auto"/>
              <w:jc w:val="center"/>
              <w:rPr>
                <w:rFonts w:ascii="Times New Roman" w:eastAsia="Times New Roman" w:hAnsi="Times New Roman" w:cs="Times New Roman"/>
                <w:b/>
                <w:bCs/>
                <w:kern w:val="0"/>
                <w14:ligatures w14:val="none"/>
              </w:rPr>
            </w:pPr>
            <w:r w:rsidRPr="003759CB">
              <w:rPr>
                <w:rFonts w:ascii="Times New Roman" w:eastAsia="Times New Roman" w:hAnsi="Times New Roman" w:cs="Times New Roman"/>
                <w:b/>
                <w:bCs/>
                <w:kern w:val="0"/>
                <w14:ligatures w14:val="none"/>
              </w:rPr>
              <w:t>Shock Multiplier</w:t>
            </w:r>
          </w:p>
        </w:tc>
      </w:tr>
      <w:tr w:rsidR="003759CB" w:rsidRPr="003759CB" w14:paraId="37C44A66" w14:textId="77777777">
        <w:trPr>
          <w:tblCellSpacing w:w="15" w:type="dxa"/>
        </w:trPr>
        <w:tc>
          <w:tcPr>
            <w:tcW w:w="0" w:type="auto"/>
            <w:vAlign w:val="center"/>
            <w:hideMark/>
          </w:tcPr>
          <w:p w14:paraId="723152BC"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10 days</w:t>
            </w:r>
          </w:p>
        </w:tc>
        <w:tc>
          <w:tcPr>
            <w:tcW w:w="0" w:type="auto"/>
            <w:vAlign w:val="center"/>
            <w:hideMark/>
          </w:tcPr>
          <w:p w14:paraId="693FDCF2"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Large-cap equities, major FX</w:t>
            </w:r>
          </w:p>
        </w:tc>
        <w:tc>
          <w:tcPr>
            <w:tcW w:w="0" w:type="auto"/>
            <w:vAlign w:val="center"/>
            <w:hideMark/>
          </w:tcPr>
          <w:p w14:paraId="520C2A6C"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1.0x (base)</w:t>
            </w:r>
          </w:p>
        </w:tc>
      </w:tr>
      <w:tr w:rsidR="003759CB" w:rsidRPr="003759CB" w14:paraId="1A02BA45" w14:textId="77777777">
        <w:trPr>
          <w:tblCellSpacing w:w="15" w:type="dxa"/>
        </w:trPr>
        <w:tc>
          <w:tcPr>
            <w:tcW w:w="0" w:type="auto"/>
            <w:vAlign w:val="center"/>
            <w:hideMark/>
          </w:tcPr>
          <w:p w14:paraId="00670ABE"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20 days</w:t>
            </w:r>
          </w:p>
        </w:tc>
        <w:tc>
          <w:tcPr>
            <w:tcW w:w="0" w:type="auto"/>
            <w:vAlign w:val="center"/>
            <w:hideMark/>
          </w:tcPr>
          <w:p w14:paraId="0C13CCC8"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Interest rate swaps, IG credit</w:t>
            </w:r>
          </w:p>
        </w:tc>
        <w:tc>
          <w:tcPr>
            <w:tcW w:w="0" w:type="auto"/>
            <w:vAlign w:val="center"/>
            <w:hideMark/>
          </w:tcPr>
          <w:p w14:paraId="6EA3B925"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1.4x</w:t>
            </w:r>
          </w:p>
        </w:tc>
      </w:tr>
      <w:tr w:rsidR="003759CB" w:rsidRPr="003759CB" w14:paraId="585C1D30" w14:textId="77777777">
        <w:trPr>
          <w:tblCellSpacing w:w="15" w:type="dxa"/>
        </w:trPr>
        <w:tc>
          <w:tcPr>
            <w:tcW w:w="0" w:type="auto"/>
            <w:vAlign w:val="center"/>
            <w:hideMark/>
          </w:tcPr>
          <w:p w14:paraId="75B09ABE"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40 days</w:t>
            </w:r>
          </w:p>
        </w:tc>
        <w:tc>
          <w:tcPr>
            <w:tcW w:w="0" w:type="auto"/>
            <w:vAlign w:val="center"/>
            <w:hideMark/>
          </w:tcPr>
          <w:p w14:paraId="132D5546"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IG CDS, commodity futures</w:t>
            </w:r>
          </w:p>
        </w:tc>
        <w:tc>
          <w:tcPr>
            <w:tcW w:w="0" w:type="auto"/>
            <w:vAlign w:val="center"/>
            <w:hideMark/>
          </w:tcPr>
          <w:p w14:paraId="4D2D27C9"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2.0x</w:t>
            </w:r>
          </w:p>
        </w:tc>
      </w:tr>
      <w:tr w:rsidR="003759CB" w:rsidRPr="003759CB" w14:paraId="1190398B" w14:textId="77777777">
        <w:trPr>
          <w:tblCellSpacing w:w="15" w:type="dxa"/>
        </w:trPr>
        <w:tc>
          <w:tcPr>
            <w:tcW w:w="0" w:type="auto"/>
            <w:vAlign w:val="center"/>
            <w:hideMark/>
          </w:tcPr>
          <w:p w14:paraId="60D8AC1A"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lastRenderedPageBreak/>
              <w:t>60 days</w:t>
            </w:r>
          </w:p>
        </w:tc>
        <w:tc>
          <w:tcPr>
            <w:tcW w:w="0" w:type="auto"/>
            <w:vAlign w:val="center"/>
            <w:hideMark/>
          </w:tcPr>
          <w:p w14:paraId="734F5056"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High-yield credit, EM FX</w:t>
            </w:r>
          </w:p>
        </w:tc>
        <w:tc>
          <w:tcPr>
            <w:tcW w:w="0" w:type="auto"/>
            <w:vAlign w:val="center"/>
            <w:hideMark/>
          </w:tcPr>
          <w:p w14:paraId="44C9ECDA"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2.4x</w:t>
            </w:r>
          </w:p>
        </w:tc>
      </w:tr>
      <w:tr w:rsidR="003759CB" w:rsidRPr="003759CB" w14:paraId="680FE525" w14:textId="77777777">
        <w:trPr>
          <w:tblCellSpacing w:w="15" w:type="dxa"/>
        </w:trPr>
        <w:tc>
          <w:tcPr>
            <w:tcW w:w="0" w:type="auto"/>
            <w:vAlign w:val="center"/>
            <w:hideMark/>
          </w:tcPr>
          <w:p w14:paraId="64FC54DF"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120 days</w:t>
            </w:r>
          </w:p>
        </w:tc>
        <w:tc>
          <w:tcPr>
            <w:tcW w:w="0" w:type="auto"/>
            <w:vAlign w:val="center"/>
            <w:hideMark/>
          </w:tcPr>
          <w:p w14:paraId="3F50E4E0"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Small-cap vol, exotic options</w:t>
            </w:r>
          </w:p>
        </w:tc>
        <w:tc>
          <w:tcPr>
            <w:tcW w:w="0" w:type="auto"/>
            <w:vAlign w:val="center"/>
            <w:hideMark/>
          </w:tcPr>
          <w:p w14:paraId="1D693480"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3.5x</w:t>
            </w:r>
          </w:p>
        </w:tc>
      </w:tr>
    </w:tbl>
    <w:p w14:paraId="44D6A3B1"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What does "shock multiplier" mean?</w:t>
      </w:r>
    </w:p>
    <w:p w14:paraId="7952A2AD"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The ES model starts with a 10-day base shock — how much could this risk factor move in 10 days? If the liquidity horizon is longer than 10 days, the shock gets </w:t>
      </w:r>
      <w:r w:rsidRPr="003759CB">
        <w:rPr>
          <w:rFonts w:ascii="Times New Roman" w:eastAsia="Times New Roman" w:hAnsi="Times New Roman" w:cs="Times New Roman"/>
          <w:b/>
          <w:bCs/>
          <w:kern w:val="0"/>
          <w14:ligatures w14:val="none"/>
        </w:rPr>
        <w:t>scaled up</w:t>
      </w:r>
      <w:r w:rsidRPr="003759CB">
        <w:rPr>
          <w:rFonts w:ascii="Times New Roman" w:eastAsia="Times New Roman" w:hAnsi="Times New Roman" w:cs="Times New Roman"/>
          <w:kern w:val="0"/>
          <w14:ligatures w14:val="none"/>
        </w:rPr>
        <w:t>. A 120-day horizon produces a simulated shock that's 3.5 times larger than the 10-day base.</w:t>
      </w:r>
    </w:p>
    <w:p w14:paraId="7237BDD5"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Think of it this way: if you can sell something in 10 days, you're only exposed to 10 days of market moves. If it takes 120 days to sell, you're exposed to 120 days of moves — and those can be much bigger.</w:t>
      </w:r>
    </w:p>
    <w:p w14:paraId="5F7A7F4D"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 xml:space="preserve">Q: </w:t>
      </w:r>
      <w:proofErr w:type="gramStart"/>
      <w:r w:rsidRPr="003759CB">
        <w:rPr>
          <w:rFonts w:ascii="Times New Roman" w:eastAsia="Times New Roman" w:hAnsi="Times New Roman" w:cs="Times New Roman"/>
          <w:b/>
          <w:bCs/>
          <w:kern w:val="0"/>
          <w14:ligatures w14:val="none"/>
        </w:rPr>
        <w:t>So</w:t>
      </w:r>
      <w:proofErr w:type="gramEnd"/>
      <w:r w:rsidRPr="003759CB">
        <w:rPr>
          <w:rFonts w:ascii="Times New Roman" w:eastAsia="Times New Roman" w:hAnsi="Times New Roman" w:cs="Times New Roman"/>
          <w:b/>
          <w:bCs/>
          <w:kern w:val="0"/>
          <w14:ligatures w14:val="none"/>
        </w:rPr>
        <w:t xml:space="preserve"> the liquidity horizon directly affects capital?</w:t>
      </w:r>
    </w:p>
    <w:p w14:paraId="79728E9A"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Yes — significantly. Assigning a risk factor to the 120-day bucket instead of the 40-day bucket means the shock is 75% larger. That directly translates to more capital. This is why the liquidity horizon assignment needs to be done carefully and defensibly.</w:t>
      </w:r>
    </w:p>
    <w:p w14:paraId="3AD59DC9"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pict w14:anchorId="0747F142">
          <v:rect id="_x0000_i1030" style="width:0;height:1.5pt" o:hralign="center" o:hrstd="t" o:hr="t" fillcolor="#a0a0a0" stroked="f"/>
        </w:pict>
      </w:r>
    </w:p>
    <w:p w14:paraId="3012FAF7" w14:textId="77777777" w:rsidR="003759CB" w:rsidRPr="003759CB" w:rsidRDefault="003759CB" w:rsidP="003759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9CB">
        <w:rPr>
          <w:rFonts w:ascii="Times New Roman" w:eastAsia="Times New Roman" w:hAnsi="Times New Roman" w:cs="Times New Roman"/>
          <w:b/>
          <w:bCs/>
          <w:kern w:val="0"/>
          <w:sz w:val="36"/>
          <w:szCs w:val="36"/>
          <w14:ligatures w14:val="none"/>
        </w:rPr>
        <w:t xml:space="preserve">Part 6: </w:t>
      </w:r>
      <w:proofErr w:type="spellStart"/>
      <w:r w:rsidRPr="003759CB">
        <w:rPr>
          <w:rFonts w:ascii="Times New Roman" w:eastAsia="Times New Roman" w:hAnsi="Times New Roman" w:cs="Times New Roman"/>
          <w:b/>
          <w:bCs/>
          <w:kern w:val="0"/>
          <w:sz w:val="36"/>
          <w:szCs w:val="36"/>
          <w14:ligatures w14:val="none"/>
        </w:rPr>
        <w:t>Backtesting</w:t>
      </w:r>
      <w:proofErr w:type="spellEnd"/>
      <w:r w:rsidRPr="003759CB">
        <w:rPr>
          <w:rFonts w:ascii="Times New Roman" w:eastAsia="Times New Roman" w:hAnsi="Times New Roman" w:cs="Times New Roman"/>
          <w:b/>
          <w:bCs/>
          <w:kern w:val="0"/>
          <w:sz w:val="36"/>
          <w:szCs w:val="36"/>
          <w14:ligatures w14:val="none"/>
        </w:rPr>
        <w:t xml:space="preserve"> and PLA — The Daily License to Operate</w:t>
      </w:r>
    </w:p>
    <w:p w14:paraId="6332B27D"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You said the model has to prove itself every day. How?</w:t>
      </w:r>
    </w:p>
    <w:p w14:paraId="2AF660AB"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Two tests, running continuously:</w:t>
      </w:r>
    </w:p>
    <w:p w14:paraId="48E7523E"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759CB">
        <w:rPr>
          <w:rFonts w:ascii="Times New Roman" w:eastAsia="Times New Roman" w:hAnsi="Times New Roman" w:cs="Times New Roman"/>
          <w:b/>
          <w:bCs/>
          <w:kern w:val="0"/>
          <w14:ligatures w14:val="none"/>
        </w:rPr>
        <w:t>Backtesting</w:t>
      </w:r>
      <w:proofErr w:type="spellEnd"/>
      <w:r w:rsidRPr="003759CB">
        <w:rPr>
          <w:rFonts w:ascii="Times New Roman" w:eastAsia="Times New Roman" w:hAnsi="Times New Roman" w:cs="Times New Roman"/>
          <w:kern w:val="0"/>
          <w14:ligatures w14:val="none"/>
        </w:rPr>
        <w:t xml:space="preserve"> — Every day, we compare what our model predicted the loss would be (</w:t>
      </w:r>
      <w:proofErr w:type="spellStart"/>
      <w:r w:rsidRPr="003759CB">
        <w:rPr>
          <w:rFonts w:ascii="Times New Roman" w:eastAsia="Times New Roman" w:hAnsi="Times New Roman" w:cs="Times New Roman"/>
          <w:kern w:val="0"/>
          <w14:ligatures w14:val="none"/>
        </w:rPr>
        <w:t>VaR</w:t>
      </w:r>
      <w:proofErr w:type="spellEnd"/>
      <w:r w:rsidRPr="003759CB">
        <w:rPr>
          <w:rFonts w:ascii="Times New Roman" w:eastAsia="Times New Roman" w:hAnsi="Times New Roman" w:cs="Times New Roman"/>
          <w:kern w:val="0"/>
          <w14:ligatures w14:val="none"/>
        </w:rPr>
        <w:t xml:space="preserve">) against what actually happened (Actual P&amp;L). Over a rolling 250-day window (~1 year), we count how many times the actual loss exceeded the </w:t>
      </w:r>
      <w:proofErr w:type="spellStart"/>
      <w:r w:rsidRPr="003759CB">
        <w:rPr>
          <w:rFonts w:ascii="Times New Roman" w:eastAsia="Times New Roman" w:hAnsi="Times New Roman" w:cs="Times New Roman"/>
          <w:kern w:val="0"/>
          <w14:ligatures w14:val="none"/>
        </w:rPr>
        <w:t>VaR</w:t>
      </w:r>
      <w:proofErr w:type="spellEnd"/>
      <w:r w:rsidRPr="003759CB">
        <w:rPr>
          <w:rFonts w:ascii="Times New Roman" w:eastAsia="Times New Roman" w:hAnsi="Times New Roman" w:cs="Times New Roman"/>
          <w:kern w:val="0"/>
          <w14:ligatures w14:val="none"/>
        </w:rPr>
        <w:t xml:space="preserve"> prediction. These are called "exceptions."</w:t>
      </w:r>
    </w:p>
    <w:p w14:paraId="6D4AF15B" w14:textId="77777777" w:rsidR="003759CB" w:rsidRPr="003759CB" w:rsidRDefault="003759CB" w:rsidP="003759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More than 12 exceptions at 99% confidence → </w:t>
      </w:r>
      <w:r w:rsidRPr="003759CB">
        <w:rPr>
          <w:rFonts w:ascii="Times New Roman" w:eastAsia="Times New Roman" w:hAnsi="Times New Roman" w:cs="Times New Roman"/>
          <w:b/>
          <w:bCs/>
          <w:kern w:val="0"/>
          <w14:ligatures w14:val="none"/>
        </w:rPr>
        <w:t>desk loses IMA</w:t>
      </w:r>
    </w:p>
    <w:p w14:paraId="6F1A3248" w14:textId="77777777" w:rsidR="003759CB" w:rsidRPr="003759CB" w:rsidRDefault="003759CB" w:rsidP="003759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More than 30 exceptions at 97.5% confidence → </w:t>
      </w:r>
      <w:r w:rsidRPr="003759CB">
        <w:rPr>
          <w:rFonts w:ascii="Times New Roman" w:eastAsia="Times New Roman" w:hAnsi="Times New Roman" w:cs="Times New Roman"/>
          <w:b/>
          <w:bCs/>
          <w:kern w:val="0"/>
          <w14:ligatures w14:val="none"/>
        </w:rPr>
        <w:t>desk loses IMA</w:t>
      </w:r>
    </w:p>
    <w:p w14:paraId="5B07E8AB" w14:textId="77777777" w:rsidR="003759CB" w:rsidRPr="003759CB" w:rsidRDefault="003759CB" w:rsidP="003759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Exceptions at the aggregate level → </w:t>
      </w:r>
      <w:r w:rsidRPr="003759CB">
        <w:rPr>
          <w:rFonts w:ascii="Times New Roman" w:eastAsia="Times New Roman" w:hAnsi="Times New Roman" w:cs="Times New Roman"/>
          <w:b/>
          <w:bCs/>
          <w:kern w:val="0"/>
          <w14:ligatures w14:val="none"/>
        </w:rPr>
        <w:t>capital multiplier increases</w:t>
      </w:r>
      <w:r w:rsidRPr="003759CB">
        <w:rPr>
          <w:rFonts w:ascii="Times New Roman" w:eastAsia="Times New Roman" w:hAnsi="Times New Roman" w:cs="Times New Roman"/>
          <w:kern w:val="0"/>
          <w14:ligatures w14:val="none"/>
        </w:rPr>
        <w:t xml:space="preserve"> (1.5x to 2.0x)</w:t>
      </w:r>
    </w:p>
    <w:p w14:paraId="5975D358"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Think of it like a weather forecaster. If they say "no rain" and it rains 12 times out of 250 days — that's too many misses. They lose credibility.</w:t>
      </w:r>
    </w:p>
    <w:p w14:paraId="1839AE0A"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PLA Testing</w:t>
      </w:r>
      <w:r w:rsidRPr="003759CB">
        <w:rPr>
          <w:rFonts w:ascii="Times New Roman" w:eastAsia="Times New Roman" w:hAnsi="Times New Roman" w:cs="Times New Roman"/>
          <w:kern w:val="0"/>
          <w14:ligatures w14:val="none"/>
        </w:rPr>
        <w:t xml:space="preserve"> — This is the newer, harder test. It compares two daily P&amp;L streams:</w:t>
      </w:r>
    </w:p>
    <w:p w14:paraId="77D66BA7" w14:textId="77777777" w:rsidR="003759CB" w:rsidRPr="003759CB" w:rsidRDefault="003759CB" w:rsidP="003759C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lastRenderedPageBreak/>
        <w:t>HPL (Hypothetical P&amp;L)</w:t>
      </w:r>
      <w:r w:rsidRPr="003759CB">
        <w:rPr>
          <w:rFonts w:ascii="Times New Roman" w:eastAsia="Times New Roman" w:hAnsi="Times New Roman" w:cs="Times New Roman"/>
          <w:kern w:val="0"/>
          <w14:ligatures w14:val="none"/>
        </w:rPr>
        <w:t xml:space="preserve"> — What the front office says market moves would have produced (no intraday trading, no fees)</w:t>
      </w:r>
    </w:p>
    <w:p w14:paraId="77ECE472" w14:textId="77777777" w:rsidR="003759CB" w:rsidRPr="003759CB" w:rsidRDefault="003759CB" w:rsidP="003759C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RTPL (Risk-Theoretical P&amp;L)</w:t>
      </w:r>
      <w:r w:rsidRPr="003759CB">
        <w:rPr>
          <w:rFonts w:ascii="Times New Roman" w:eastAsia="Times New Roman" w:hAnsi="Times New Roman" w:cs="Times New Roman"/>
          <w:kern w:val="0"/>
          <w14:ligatures w14:val="none"/>
        </w:rPr>
        <w:t xml:space="preserve"> — What the risk model says those same market moves produced</w:t>
      </w:r>
    </w:p>
    <w:p w14:paraId="5604D024"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The regulator uses a statistical test (Kolmogorov-Smirnov) to measure how closely these two streams match over 250 days.</w:t>
      </w:r>
    </w:p>
    <w:p w14:paraId="11B1D01F" w14:textId="77777777" w:rsidR="003759CB" w:rsidRPr="003759CB" w:rsidRDefault="003759CB" w:rsidP="003759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Green zone</w:t>
      </w:r>
      <w:r w:rsidRPr="003759CB">
        <w:rPr>
          <w:rFonts w:ascii="Times New Roman" w:eastAsia="Times New Roman" w:hAnsi="Times New Roman" w:cs="Times New Roman"/>
          <w:kern w:val="0"/>
          <w14:ligatures w14:val="none"/>
        </w:rPr>
        <w:t xml:space="preserve"> → Pass. No add-on.</w:t>
      </w:r>
    </w:p>
    <w:p w14:paraId="6D89DCF9" w14:textId="77777777" w:rsidR="003759CB" w:rsidRPr="003759CB" w:rsidRDefault="003759CB" w:rsidP="003759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Amber zone</w:t>
      </w:r>
      <w:r w:rsidRPr="003759CB">
        <w:rPr>
          <w:rFonts w:ascii="Times New Roman" w:eastAsia="Times New Roman" w:hAnsi="Times New Roman" w:cs="Times New Roman"/>
          <w:kern w:val="0"/>
          <w14:ligatures w14:val="none"/>
        </w:rPr>
        <w:t xml:space="preserve"> → Warning. Capital add-on applied.</w:t>
      </w:r>
    </w:p>
    <w:p w14:paraId="5CEF20A2" w14:textId="77777777" w:rsidR="003759CB" w:rsidRPr="003759CB" w:rsidRDefault="003759CB" w:rsidP="003759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Red zone</w:t>
      </w:r>
      <w:r w:rsidRPr="003759CB">
        <w:rPr>
          <w:rFonts w:ascii="Times New Roman" w:eastAsia="Times New Roman" w:hAnsi="Times New Roman" w:cs="Times New Roman"/>
          <w:kern w:val="0"/>
          <w14:ligatures w14:val="none"/>
        </w:rPr>
        <w:t xml:space="preserve"> → Fail. </w:t>
      </w:r>
      <w:r w:rsidRPr="003759CB">
        <w:rPr>
          <w:rFonts w:ascii="Times New Roman" w:eastAsia="Times New Roman" w:hAnsi="Times New Roman" w:cs="Times New Roman"/>
          <w:b/>
          <w:bCs/>
          <w:kern w:val="0"/>
          <w14:ligatures w14:val="none"/>
        </w:rPr>
        <w:t>Desk loses IMA.</w:t>
      </w:r>
    </w:p>
    <w:p w14:paraId="5CC3E182"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And this is where carry removal matters?</w:t>
      </w:r>
    </w:p>
    <w:p w14:paraId="61AF1F53"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Exactly. If the front office HPL includes carry but computes it using its own day-count conventions and accrual methods, and the risk RTPL includes carry but computes it slightly differently — those small daily differences accumulate over 250 days and push the PLA test toward amber or red.</w:t>
      </w:r>
    </w:p>
    <w:p w14:paraId="1651B0F6"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By stripping carry from both HPL and RTPL, we eliminate that entire category of mismatch. Both streams reflect only pure market moves. The PLA test then measures what it's supposed to measure: does the risk model capture market dynamics as well as the front office model?</w:t>
      </w:r>
    </w:p>
    <w:p w14:paraId="56FE7FDE"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What happens if a desk loses IMA?</w:t>
      </w:r>
    </w:p>
    <w:p w14:paraId="7C7C51D2"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It reverts to the Standardized Approach. That typically means </w:t>
      </w:r>
      <w:r w:rsidRPr="003759CB">
        <w:rPr>
          <w:rFonts w:ascii="Times New Roman" w:eastAsia="Times New Roman" w:hAnsi="Times New Roman" w:cs="Times New Roman"/>
          <w:b/>
          <w:bCs/>
          <w:kern w:val="0"/>
          <w14:ligatures w14:val="none"/>
        </w:rPr>
        <w:t>1.5 to 2 times more capital</w:t>
      </w:r>
      <w:r w:rsidRPr="003759CB">
        <w:rPr>
          <w:rFonts w:ascii="Times New Roman" w:eastAsia="Times New Roman" w:hAnsi="Times New Roman" w:cs="Times New Roman"/>
          <w:kern w:val="0"/>
          <w14:ligatures w14:val="none"/>
        </w:rPr>
        <w:t xml:space="preserve"> for that desk. And once you lose IMA, getting it back requires rebuilding the 250-day track record from scratch. It's a one-year minimum recovery period.</w:t>
      </w:r>
    </w:p>
    <w:p w14:paraId="485BCDE4" w14:textId="77777777" w:rsidR="003759CB" w:rsidRPr="003759CB" w:rsidRDefault="003759CB" w:rsidP="003759CB">
      <w:pPr>
        <w:spacing w:after="0"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pict w14:anchorId="6DFF1D68">
          <v:rect id="_x0000_i1031" style="width:0;height:1.5pt" o:hralign="center" o:hrstd="t" o:hr="t" fillcolor="#a0a0a0" stroked="f"/>
        </w:pict>
      </w:r>
    </w:p>
    <w:p w14:paraId="04F66D30" w14:textId="77777777" w:rsidR="003759CB" w:rsidRPr="003759CB" w:rsidRDefault="003759CB" w:rsidP="003759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9CB">
        <w:rPr>
          <w:rFonts w:ascii="Times New Roman" w:eastAsia="Times New Roman" w:hAnsi="Times New Roman" w:cs="Times New Roman"/>
          <w:b/>
          <w:bCs/>
          <w:kern w:val="0"/>
          <w:sz w:val="36"/>
          <w:szCs w:val="36"/>
          <w14:ligatures w14:val="none"/>
        </w:rPr>
        <w:t>Part 7: Putting It All Together</w:t>
      </w:r>
    </w:p>
    <w:p w14:paraId="7CC7773E"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Can you summarize the whole thing in one paragraph?</w:t>
      </w:r>
    </w:p>
    <w:p w14:paraId="0B367731"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t xml:space="preserve">If we go IMA, we get lower capital charges — but we have to earn and maintain them. We need to map and classify all 35,000 risk factors, prove each one has good-enough data through quarterly eligibility tests, assign liquidity horizons that determine shock sizes, build an ES model that replaces </w:t>
      </w:r>
      <w:proofErr w:type="spellStart"/>
      <w:r w:rsidRPr="003759CB">
        <w:rPr>
          <w:rFonts w:ascii="Times New Roman" w:eastAsia="Times New Roman" w:hAnsi="Times New Roman" w:cs="Times New Roman"/>
          <w:kern w:val="0"/>
          <w14:ligatures w14:val="none"/>
        </w:rPr>
        <w:t>VaR</w:t>
      </w:r>
      <w:proofErr w:type="spellEnd"/>
      <w:r w:rsidRPr="003759CB">
        <w:rPr>
          <w:rFonts w:ascii="Times New Roman" w:eastAsia="Times New Roman" w:hAnsi="Times New Roman" w:cs="Times New Roman"/>
          <w:kern w:val="0"/>
          <w14:ligatures w14:val="none"/>
        </w:rPr>
        <w:t xml:space="preserve">, strip time effects so our P&amp;L streams are clean and consistent, align front office and risk models so they speak the same language, and pass </w:t>
      </w:r>
      <w:proofErr w:type="spellStart"/>
      <w:r w:rsidRPr="003759CB">
        <w:rPr>
          <w:rFonts w:ascii="Times New Roman" w:eastAsia="Times New Roman" w:hAnsi="Times New Roman" w:cs="Times New Roman"/>
          <w:kern w:val="0"/>
          <w14:ligatures w14:val="none"/>
        </w:rPr>
        <w:t>backtesting</w:t>
      </w:r>
      <w:proofErr w:type="spellEnd"/>
      <w:r w:rsidRPr="003759CB">
        <w:rPr>
          <w:rFonts w:ascii="Times New Roman" w:eastAsia="Times New Roman" w:hAnsi="Times New Roman" w:cs="Times New Roman"/>
          <w:kern w:val="0"/>
          <w14:ligatures w14:val="none"/>
        </w:rPr>
        <w:t xml:space="preserve"> and PLA tests every single day. The payoff is real — potentially hundreds of millions in capital savings. But the cost of failure is also real — lose the tests, and you're back to SA at a significantly higher capital charge.</w:t>
      </w:r>
    </w:p>
    <w:p w14:paraId="43875B68"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Q: What should I remember from this conversation?</w:t>
      </w:r>
    </w:p>
    <w:p w14:paraId="3ACA7EFF" w14:textId="77777777" w:rsidR="003759CB" w:rsidRPr="003759CB" w:rsidRDefault="003759CB" w:rsidP="003759CB">
      <w:p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kern w:val="0"/>
          <w14:ligatures w14:val="none"/>
        </w:rPr>
        <w:lastRenderedPageBreak/>
        <w:t>Five things:</w:t>
      </w:r>
    </w:p>
    <w:p w14:paraId="0576CACA" w14:textId="77777777" w:rsidR="003759CB" w:rsidRPr="003759CB" w:rsidRDefault="003759CB" w:rsidP="003759C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IMA = lower capital, but you have to earn it.</w:t>
      </w:r>
      <w:r w:rsidRPr="003759CB">
        <w:rPr>
          <w:rFonts w:ascii="Times New Roman" w:eastAsia="Times New Roman" w:hAnsi="Times New Roman" w:cs="Times New Roman"/>
          <w:kern w:val="0"/>
          <w14:ligatures w14:val="none"/>
        </w:rPr>
        <w:t xml:space="preserve"> SA is the safe, expensive default. IMA requires building, proving, and maintaining a model that the regulator trusts.</w:t>
      </w:r>
    </w:p>
    <w:p w14:paraId="394E6C2B" w14:textId="77777777" w:rsidR="003759CB" w:rsidRPr="003759CB" w:rsidRDefault="003759CB" w:rsidP="003759C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Risk factor classification is the #1 capital lever.</w:t>
      </w:r>
      <w:r w:rsidRPr="003759CB">
        <w:rPr>
          <w:rFonts w:ascii="Times New Roman" w:eastAsia="Times New Roman" w:hAnsi="Times New Roman" w:cs="Times New Roman"/>
          <w:kern w:val="0"/>
          <w14:ligatures w14:val="none"/>
        </w:rPr>
        <w:t xml:space="preserve"> Modellable = cheap. Non-modellable Type B = very expensive. The difference is data quality and real price evidence.</w:t>
      </w:r>
    </w:p>
    <w:p w14:paraId="10987DB9" w14:textId="77777777" w:rsidR="003759CB" w:rsidRPr="003759CB" w:rsidRDefault="003759CB" w:rsidP="003759C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Carry removal protects the PLA test.</w:t>
      </w:r>
      <w:r w:rsidRPr="003759CB">
        <w:rPr>
          <w:rFonts w:ascii="Times New Roman" w:eastAsia="Times New Roman" w:hAnsi="Times New Roman" w:cs="Times New Roman"/>
          <w:kern w:val="0"/>
          <w14:ligatures w14:val="none"/>
        </w:rPr>
        <w:t xml:space="preserve"> It's not about reducing capital — it's about preventing the desk from losing IMA status, which would be far more expensive.</w:t>
      </w:r>
    </w:p>
    <w:p w14:paraId="451BDC5A" w14:textId="77777777" w:rsidR="003759CB" w:rsidRPr="003759CB" w:rsidRDefault="003759CB" w:rsidP="003759C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The 250-day clock is a hard constraint.</w:t>
      </w:r>
      <w:r w:rsidRPr="003759CB">
        <w:rPr>
          <w:rFonts w:ascii="Times New Roman" w:eastAsia="Times New Roman" w:hAnsi="Times New Roman" w:cs="Times New Roman"/>
          <w:kern w:val="0"/>
          <w14:ligatures w14:val="none"/>
        </w:rPr>
        <w:t xml:space="preserve"> You can't compress it. Starting P&amp;L streams early is the most important timeline decision.</w:t>
      </w:r>
    </w:p>
    <w:p w14:paraId="58E140BC" w14:textId="77777777" w:rsidR="003759CB" w:rsidRPr="003759CB" w:rsidRDefault="003759CB" w:rsidP="003759C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759CB">
        <w:rPr>
          <w:rFonts w:ascii="Times New Roman" w:eastAsia="Times New Roman" w:hAnsi="Times New Roman" w:cs="Times New Roman"/>
          <w:b/>
          <w:bCs/>
          <w:kern w:val="0"/>
          <w14:ligatures w14:val="none"/>
        </w:rPr>
        <w:t>Front office and risk must be aligned.</w:t>
      </w:r>
      <w:r w:rsidRPr="003759CB">
        <w:rPr>
          <w:rFonts w:ascii="Times New Roman" w:eastAsia="Times New Roman" w:hAnsi="Times New Roman" w:cs="Times New Roman"/>
          <w:kern w:val="0"/>
          <w14:ligatures w14:val="none"/>
        </w:rPr>
        <w:t xml:space="preserve"> Same risk factors, same curves, same language. Misalignment shows up in PLA as failures — and failures cost capital or IMA status.</w:t>
      </w:r>
    </w:p>
    <w:p w14:paraId="17E75BCE" w14:textId="77777777" w:rsidR="003759CB" w:rsidRDefault="003759CB" w:rsidP="003759CB">
      <w:pPr>
        <w:pStyle w:val="Heading2"/>
      </w:pPr>
    </w:p>
    <w:sectPr w:rsidR="003759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D1941"/>
    <w:multiLevelType w:val="multilevel"/>
    <w:tmpl w:val="003C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143B6"/>
    <w:multiLevelType w:val="multilevel"/>
    <w:tmpl w:val="CE089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A008BD"/>
    <w:multiLevelType w:val="multilevel"/>
    <w:tmpl w:val="B5F6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946BC"/>
    <w:multiLevelType w:val="multilevel"/>
    <w:tmpl w:val="B730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64C62"/>
    <w:multiLevelType w:val="multilevel"/>
    <w:tmpl w:val="2028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05520"/>
    <w:multiLevelType w:val="multilevel"/>
    <w:tmpl w:val="FC40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07807"/>
    <w:multiLevelType w:val="multilevel"/>
    <w:tmpl w:val="CA526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8963E5"/>
    <w:multiLevelType w:val="multilevel"/>
    <w:tmpl w:val="13A2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E597A"/>
    <w:multiLevelType w:val="multilevel"/>
    <w:tmpl w:val="CC06B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114E57"/>
    <w:multiLevelType w:val="multilevel"/>
    <w:tmpl w:val="4EEC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E7A96"/>
    <w:multiLevelType w:val="multilevel"/>
    <w:tmpl w:val="379C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549D2"/>
    <w:multiLevelType w:val="multilevel"/>
    <w:tmpl w:val="714A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F072A9"/>
    <w:multiLevelType w:val="multilevel"/>
    <w:tmpl w:val="11A2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27394">
    <w:abstractNumId w:val="7"/>
  </w:num>
  <w:num w:numId="2" w16cid:durableId="81413323">
    <w:abstractNumId w:val="6"/>
  </w:num>
  <w:num w:numId="3" w16cid:durableId="866523511">
    <w:abstractNumId w:val="8"/>
  </w:num>
  <w:num w:numId="4" w16cid:durableId="170806057">
    <w:abstractNumId w:val="0"/>
  </w:num>
  <w:num w:numId="5" w16cid:durableId="114253924">
    <w:abstractNumId w:val="2"/>
  </w:num>
  <w:num w:numId="6" w16cid:durableId="648366164">
    <w:abstractNumId w:val="3"/>
  </w:num>
  <w:num w:numId="7" w16cid:durableId="804009899">
    <w:abstractNumId w:val="12"/>
  </w:num>
  <w:num w:numId="8" w16cid:durableId="937064265">
    <w:abstractNumId w:val="9"/>
  </w:num>
  <w:num w:numId="9" w16cid:durableId="1667636266">
    <w:abstractNumId w:val="11"/>
  </w:num>
  <w:num w:numId="10" w16cid:durableId="608242145">
    <w:abstractNumId w:val="5"/>
  </w:num>
  <w:num w:numId="11" w16cid:durableId="1611931445">
    <w:abstractNumId w:val="4"/>
  </w:num>
  <w:num w:numId="12" w16cid:durableId="1990933898">
    <w:abstractNumId w:val="10"/>
  </w:num>
  <w:num w:numId="13" w16cid:durableId="1664430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CB"/>
    <w:rsid w:val="000158CE"/>
    <w:rsid w:val="00375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001F"/>
  <w15:chartTrackingRefBased/>
  <w15:docId w15:val="{5BECEBD6-B959-499A-9F05-EE5C1A08C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9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59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59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59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59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5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59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59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9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59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5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CB"/>
    <w:rPr>
      <w:rFonts w:eastAsiaTheme="majorEastAsia" w:cstheme="majorBidi"/>
      <w:color w:val="272727" w:themeColor="text1" w:themeTint="D8"/>
    </w:rPr>
  </w:style>
  <w:style w:type="paragraph" w:styleId="Title">
    <w:name w:val="Title"/>
    <w:basedOn w:val="Normal"/>
    <w:next w:val="Normal"/>
    <w:link w:val="TitleChar"/>
    <w:uiPriority w:val="10"/>
    <w:qFormat/>
    <w:rsid w:val="00375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CB"/>
    <w:pPr>
      <w:spacing w:before="160"/>
      <w:jc w:val="center"/>
    </w:pPr>
    <w:rPr>
      <w:i/>
      <w:iCs/>
      <w:color w:val="404040" w:themeColor="text1" w:themeTint="BF"/>
    </w:rPr>
  </w:style>
  <w:style w:type="character" w:customStyle="1" w:styleId="QuoteChar">
    <w:name w:val="Quote Char"/>
    <w:basedOn w:val="DefaultParagraphFont"/>
    <w:link w:val="Quote"/>
    <w:uiPriority w:val="29"/>
    <w:rsid w:val="003759CB"/>
    <w:rPr>
      <w:i/>
      <w:iCs/>
      <w:color w:val="404040" w:themeColor="text1" w:themeTint="BF"/>
    </w:rPr>
  </w:style>
  <w:style w:type="paragraph" w:styleId="ListParagraph">
    <w:name w:val="List Paragraph"/>
    <w:basedOn w:val="Normal"/>
    <w:uiPriority w:val="34"/>
    <w:qFormat/>
    <w:rsid w:val="003759CB"/>
    <w:pPr>
      <w:ind w:left="720"/>
      <w:contextualSpacing/>
    </w:pPr>
  </w:style>
  <w:style w:type="character" w:styleId="IntenseEmphasis">
    <w:name w:val="Intense Emphasis"/>
    <w:basedOn w:val="DefaultParagraphFont"/>
    <w:uiPriority w:val="21"/>
    <w:qFormat/>
    <w:rsid w:val="003759CB"/>
    <w:rPr>
      <w:i/>
      <w:iCs/>
      <w:color w:val="2F5496" w:themeColor="accent1" w:themeShade="BF"/>
    </w:rPr>
  </w:style>
  <w:style w:type="paragraph" w:styleId="IntenseQuote">
    <w:name w:val="Intense Quote"/>
    <w:basedOn w:val="Normal"/>
    <w:next w:val="Normal"/>
    <w:link w:val="IntenseQuoteChar"/>
    <w:uiPriority w:val="30"/>
    <w:qFormat/>
    <w:rsid w:val="003759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9CB"/>
    <w:rPr>
      <w:i/>
      <w:iCs/>
      <w:color w:val="2F5496" w:themeColor="accent1" w:themeShade="BF"/>
    </w:rPr>
  </w:style>
  <w:style w:type="character" w:styleId="IntenseReference">
    <w:name w:val="Intense Reference"/>
    <w:basedOn w:val="DefaultParagraphFont"/>
    <w:uiPriority w:val="32"/>
    <w:qFormat/>
    <w:rsid w:val="003759CB"/>
    <w:rPr>
      <w:b/>
      <w:bCs/>
      <w:smallCaps/>
      <w:color w:val="2F5496" w:themeColor="accent1" w:themeShade="BF"/>
      <w:spacing w:val="5"/>
    </w:rPr>
  </w:style>
  <w:style w:type="paragraph" w:styleId="NormalWeb">
    <w:name w:val="Normal (Web)"/>
    <w:basedOn w:val="Normal"/>
    <w:uiPriority w:val="99"/>
    <w:semiHidden/>
    <w:unhideWhenUsed/>
    <w:rsid w:val="003759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759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2561</Words>
  <Characters>14604</Characters>
  <Application>Microsoft Office Word</Application>
  <DocSecurity>0</DocSecurity>
  <Lines>121</Lines>
  <Paragraphs>34</Paragraphs>
  <ScaleCrop>false</ScaleCrop>
  <Company/>
  <LinksUpToDate>false</LinksUpToDate>
  <CharactersWithSpaces>17131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CHOUKRI ABDELILAH</dc:creator>
  <cp:keywords/>
  <dc:description/>
  <cp:lastModifiedBy>CHOUKRI ABDELILAH</cp:lastModifiedBy>
  <cp:revision>1</cp:revision>
  <dcterms:created xsi:type="dcterms:W3CDTF">2026-04-24T20:37:00Z</dcterms:created>
  <dcterms:modified xsi:type="dcterms:W3CDTF">2026-04-24T20:56:00Z</dcterms:modified>
</cp:coreProperties>
</file>