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B21A6" w14:textId="77777777" w:rsidR="0028536E" w:rsidRPr="0028536E" w:rsidRDefault="0028536E" w:rsidP="002853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536E">
        <w:rPr>
          <w:rFonts w:ascii="Times New Roman" w:eastAsia="Times New Roman" w:hAnsi="Times New Roman" w:cs="Times New Roman"/>
          <w:b/>
          <w:bCs/>
          <w:kern w:val="36"/>
          <w:sz w:val="48"/>
          <w:szCs w:val="48"/>
          <w14:ligatures w14:val="none"/>
        </w:rPr>
        <w:t>FRTB IMA — What It Means for Your Credit Book</w:t>
      </w:r>
    </w:p>
    <w:p w14:paraId="7456932D" w14:textId="77777777" w:rsidR="0028536E" w:rsidRPr="0028536E" w:rsidRDefault="0028536E" w:rsidP="002853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36E">
        <w:rPr>
          <w:rFonts w:ascii="Times New Roman" w:eastAsia="Times New Roman" w:hAnsi="Times New Roman" w:cs="Times New Roman"/>
          <w:b/>
          <w:bCs/>
          <w:kern w:val="0"/>
          <w:sz w:val="27"/>
          <w:szCs w:val="27"/>
          <w14:ligatures w14:val="none"/>
        </w:rPr>
        <w:t>A 5-Minute Read for Someone Who Knows Credit</w:t>
      </w:r>
    </w:p>
    <w:p w14:paraId="38591631"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pict w14:anchorId="40E811E0">
          <v:rect id="_x0000_i1046" style="width:0;height:1.5pt" o:hralign="center" o:hrstd="t" o:hr="t" fillcolor="#a0a0a0" stroked="f"/>
        </w:pict>
      </w:r>
    </w:p>
    <w:p w14:paraId="4CB5357C" w14:textId="77777777" w:rsidR="0028536E" w:rsidRPr="0028536E" w:rsidRDefault="0028536E" w:rsidP="002853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536E">
        <w:rPr>
          <w:rFonts w:ascii="Times New Roman" w:eastAsia="Times New Roman" w:hAnsi="Times New Roman" w:cs="Times New Roman"/>
          <w:b/>
          <w:bCs/>
          <w:kern w:val="0"/>
          <w:sz w:val="36"/>
          <w:szCs w:val="36"/>
          <w14:ligatures w14:val="none"/>
        </w:rPr>
        <w:t>The Choice: SA vs. IMA</w:t>
      </w:r>
    </w:p>
    <w:p w14:paraId="5ED1AE29"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Under FRTB, every trading desk picks one of two lanes for calculating capital:</w:t>
      </w:r>
    </w:p>
    <w:p w14:paraId="2D134C1D"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SA (Standardized)</w:t>
      </w:r>
      <w:r w:rsidRPr="0028536E">
        <w:rPr>
          <w:rFonts w:ascii="Times New Roman" w:eastAsia="Times New Roman" w:hAnsi="Times New Roman" w:cs="Times New Roman"/>
          <w:kern w:val="0"/>
          <w14:ligatures w14:val="none"/>
        </w:rPr>
        <w:t xml:space="preserve"> — Regulator gives you a formula. You plug in your positions, apply prescribed risk weights. Simple but conservative. You pay more capital because the formula doesn't recognize your hedges well. Your CDS-bond basis trades? SA barely gives you credit for them.</w:t>
      </w:r>
    </w:p>
    <w:p w14:paraId="585BB99E"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IMA (Internal Models)</w:t>
      </w:r>
      <w:r w:rsidRPr="0028536E">
        <w:rPr>
          <w:rFonts w:ascii="Times New Roman" w:eastAsia="Times New Roman" w:hAnsi="Times New Roman" w:cs="Times New Roman"/>
          <w:kern w:val="0"/>
          <w14:ligatures w14:val="none"/>
        </w:rPr>
        <w:t xml:space="preserve"> — You use your own risk model to calculate capital. If your model is good, you capture diversification and hedging benefits that SA ignores. Capital is typically </w:t>
      </w:r>
      <w:r w:rsidRPr="0028536E">
        <w:rPr>
          <w:rFonts w:ascii="Times New Roman" w:eastAsia="Times New Roman" w:hAnsi="Times New Roman" w:cs="Times New Roman"/>
          <w:b/>
          <w:bCs/>
          <w:kern w:val="0"/>
          <w14:ligatures w14:val="none"/>
        </w:rPr>
        <w:t>20–40% lower</w:t>
      </w:r>
      <w:r w:rsidRPr="0028536E">
        <w:rPr>
          <w:rFonts w:ascii="Times New Roman" w:eastAsia="Times New Roman" w:hAnsi="Times New Roman" w:cs="Times New Roman"/>
          <w:kern w:val="0"/>
          <w14:ligatures w14:val="none"/>
        </w:rPr>
        <w:t>. But you have to get approved, and you have to prove your model works every single day. Fail the proof — you lose IMA and go back to SA.</w:t>
      </w:r>
    </w:p>
    <w:p w14:paraId="51ECCE5F"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The bottom line:</w:t>
      </w:r>
      <w:r w:rsidRPr="0028536E">
        <w:rPr>
          <w:rFonts w:ascii="Times New Roman" w:eastAsia="Times New Roman" w:hAnsi="Times New Roman" w:cs="Times New Roman"/>
          <w:kern w:val="0"/>
          <w14:ligatures w14:val="none"/>
        </w:rPr>
        <w:t xml:space="preserve"> IMA is cheaper, but you have to earn it. Here's what "earning it" looks like — using your credit book as the example.</w:t>
      </w:r>
    </w:p>
    <w:p w14:paraId="04B5E28A"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pict w14:anchorId="220282B6">
          <v:rect id="_x0000_i1047" style="width:0;height:1.5pt" o:hralign="center" o:hrstd="t" o:hr="t" fillcolor="#a0a0a0" stroked="f"/>
        </w:pict>
      </w:r>
    </w:p>
    <w:p w14:paraId="50C07B4F" w14:textId="77777777" w:rsidR="0028536E" w:rsidRPr="0028536E" w:rsidRDefault="0028536E" w:rsidP="002853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536E">
        <w:rPr>
          <w:rFonts w:ascii="Times New Roman" w:eastAsia="Times New Roman" w:hAnsi="Times New Roman" w:cs="Times New Roman"/>
          <w:b/>
          <w:bCs/>
          <w:kern w:val="0"/>
          <w:sz w:val="36"/>
          <w:szCs w:val="36"/>
          <w14:ligatures w14:val="none"/>
        </w:rPr>
        <w:t>Problem 1: Your FO and Risk Models Don't Speak the Same Language</w:t>
      </w:r>
    </w:p>
    <w:p w14:paraId="034761DD"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Under IMA, the regulator compares two daily P&amp;L numbers:</w:t>
      </w:r>
    </w:p>
    <w:p w14:paraId="64821ECB" w14:textId="77777777" w:rsidR="0028536E" w:rsidRPr="0028536E" w:rsidRDefault="0028536E" w:rsidP="002853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HPL</w:t>
      </w:r>
      <w:r w:rsidRPr="0028536E">
        <w:rPr>
          <w:rFonts w:ascii="Times New Roman" w:eastAsia="Times New Roman" w:hAnsi="Times New Roman" w:cs="Times New Roman"/>
          <w:kern w:val="0"/>
          <w14:ligatures w14:val="none"/>
        </w:rPr>
        <w:t xml:space="preserve"> — what your front office model says market moves produced today</w:t>
      </w:r>
    </w:p>
    <w:p w14:paraId="6EE444D6" w14:textId="77777777" w:rsidR="0028536E" w:rsidRPr="0028536E" w:rsidRDefault="0028536E" w:rsidP="002853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RTPL</w:t>
      </w:r>
      <w:r w:rsidRPr="0028536E">
        <w:rPr>
          <w:rFonts w:ascii="Times New Roman" w:eastAsia="Times New Roman" w:hAnsi="Times New Roman" w:cs="Times New Roman"/>
          <w:kern w:val="0"/>
          <w14:ligatures w14:val="none"/>
        </w:rPr>
        <w:t xml:space="preserve"> — what your risk model says those same market moves produced today</w:t>
      </w:r>
    </w:p>
    <w:p w14:paraId="4631B696"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 xml:space="preserve">If these two don't match closely enough (measured by a statistical test over 250 days), your desk </w:t>
      </w:r>
      <w:r w:rsidRPr="0028536E">
        <w:rPr>
          <w:rFonts w:ascii="Times New Roman" w:eastAsia="Times New Roman" w:hAnsi="Times New Roman" w:cs="Times New Roman"/>
          <w:b/>
          <w:bCs/>
          <w:kern w:val="0"/>
          <w14:ligatures w14:val="none"/>
        </w:rPr>
        <w:t>loses IMA</w:t>
      </w:r>
      <w:r w:rsidRPr="0028536E">
        <w:rPr>
          <w:rFonts w:ascii="Times New Roman" w:eastAsia="Times New Roman" w:hAnsi="Times New Roman" w:cs="Times New Roman"/>
          <w:kern w:val="0"/>
          <w14:ligatures w14:val="none"/>
        </w:rPr>
        <w:t>. This test is called PLA.</w:t>
      </w:r>
    </w:p>
    <w:p w14:paraId="7C36613F"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Now look at your current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4666"/>
        <w:gridCol w:w="3785"/>
      </w:tblGrid>
      <w:tr w:rsidR="0028536E" w:rsidRPr="0028536E" w14:paraId="5334DCBE" w14:textId="77777777">
        <w:trPr>
          <w:tblHeader/>
          <w:tblCellSpacing w:w="15" w:type="dxa"/>
        </w:trPr>
        <w:tc>
          <w:tcPr>
            <w:tcW w:w="0" w:type="auto"/>
            <w:vAlign w:val="center"/>
            <w:hideMark/>
          </w:tcPr>
          <w:p w14:paraId="4D3D9609"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p>
        </w:tc>
        <w:tc>
          <w:tcPr>
            <w:tcW w:w="0" w:type="auto"/>
            <w:vAlign w:val="center"/>
            <w:hideMark/>
          </w:tcPr>
          <w:p w14:paraId="4EB1C3B1" w14:textId="77777777" w:rsidR="0028536E" w:rsidRPr="0028536E" w:rsidRDefault="0028536E" w:rsidP="0028536E">
            <w:pPr>
              <w:spacing w:after="0" w:line="240" w:lineRule="auto"/>
              <w:jc w:val="center"/>
              <w:rPr>
                <w:rFonts w:ascii="Times New Roman" w:eastAsia="Times New Roman" w:hAnsi="Times New Roman" w:cs="Times New Roman"/>
                <w:b/>
                <w:bCs/>
                <w:kern w:val="0"/>
                <w14:ligatures w14:val="none"/>
              </w:rPr>
            </w:pPr>
            <w:r w:rsidRPr="0028536E">
              <w:rPr>
                <w:rFonts w:ascii="Times New Roman" w:eastAsia="Times New Roman" w:hAnsi="Times New Roman" w:cs="Times New Roman"/>
                <w:b/>
                <w:bCs/>
                <w:kern w:val="0"/>
                <w14:ligatures w14:val="none"/>
              </w:rPr>
              <w:t>Front Office</w:t>
            </w:r>
          </w:p>
        </w:tc>
        <w:tc>
          <w:tcPr>
            <w:tcW w:w="0" w:type="auto"/>
            <w:vAlign w:val="center"/>
            <w:hideMark/>
          </w:tcPr>
          <w:p w14:paraId="14AD30C6" w14:textId="77777777" w:rsidR="0028536E" w:rsidRPr="0028536E" w:rsidRDefault="0028536E" w:rsidP="0028536E">
            <w:pPr>
              <w:spacing w:after="0" w:line="240" w:lineRule="auto"/>
              <w:jc w:val="center"/>
              <w:rPr>
                <w:rFonts w:ascii="Times New Roman" w:eastAsia="Times New Roman" w:hAnsi="Times New Roman" w:cs="Times New Roman"/>
                <w:b/>
                <w:bCs/>
                <w:kern w:val="0"/>
                <w14:ligatures w14:val="none"/>
              </w:rPr>
            </w:pPr>
            <w:r w:rsidRPr="0028536E">
              <w:rPr>
                <w:rFonts w:ascii="Times New Roman" w:eastAsia="Times New Roman" w:hAnsi="Times New Roman" w:cs="Times New Roman"/>
                <w:b/>
                <w:bCs/>
                <w:kern w:val="0"/>
                <w14:ligatures w14:val="none"/>
              </w:rPr>
              <w:t>Risk</w:t>
            </w:r>
          </w:p>
        </w:tc>
      </w:tr>
      <w:tr w:rsidR="0028536E" w:rsidRPr="0028536E" w14:paraId="4ABA3A49" w14:textId="77777777">
        <w:trPr>
          <w:tblCellSpacing w:w="15" w:type="dxa"/>
        </w:trPr>
        <w:tc>
          <w:tcPr>
            <w:tcW w:w="0" w:type="auto"/>
            <w:vAlign w:val="center"/>
            <w:hideMark/>
          </w:tcPr>
          <w:p w14:paraId="2E05436F"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Cash bonds</w:t>
            </w:r>
          </w:p>
        </w:tc>
        <w:tc>
          <w:tcPr>
            <w:tcW w:w="0" w:type="auto"/>
            <w:vAlign w:val="center"/>
            <w:hideMark/>
          </w:tcPr>
          <w:p w14:paraId="1AF8CE12"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Simple discounting — projects future cash flows to maturity, discounts back. No credit risk, no hazard rate.</w:t>
            </w:r>
          </w:p>
        </w:tc>
        <w:tc>
          <w:tcPr>
            <w:tcW w:w="0" w:type="auto"/>
            <w:vAlign w:val="center"/>
            <w:hideMark/>
          </w:tcPr>
          <w:p w14:paraId="56064CB9"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Shocks based on rating-level credit curves (e.g., "BBB industrials").</w:t>
            </w:r>
          </w:p>
        </w:tc>
      </w:tr>
      <w:tr w:rsidR="0028536E" w:rsidRPr="0028536E" w14:paraId="7500BCD7" w14:textId="77777777">
        <w:trPr>
          <w:tblCellSpacing w:w="15" w:type="dxa"/>
        </w:trPr>
        <w:tc>
          <w:tcPr>
            <w:tcW w:w="0" w:type="auto"/>
            <w:vAlign w:val="center"/>
            <w:hideMark/>
          </w:tcPr>
          <w:p w14:paraId="655ADDA1"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CDS</w:t>
            </w:r>
          </w:p>
        </w:tc>
        <w:tc>
          <w:tcPr>
            <w:tcW w:w="0" w:type="auto"/>
            <w:vAlign w:val="center"/>
            <w:hideMark/>
          </w:tcPr>
          <w:p w14:paraId="69F564E5"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Issuer-level hazard spread — prices using the specific name's CDS curve.</w:t>
            </w:r>
          </w:p>
        </w:tc>
        <w:tc>
          <w:tcPr>
            <w:tcW w:w="0" w:type="auto"/>
            <w:vAlign w:val="center"/>
            <w:hideMark/>
          </w:tcPr>
          <w:p w14:paraId="062C8541"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Regional rating-based spread — uses a bucket like "European IG" or "US BBB".</w:t>
            </w:r>
          </w:p>
        </w:tc>
      </w:tr>
    </w:tbl>
    <w:p w14:paraId="38598715"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Why this fails PLA:</w:t>
      </w:r>
      <w:r w:rsidRPr="0028536E">
        <w:rPr>
          <w:rFonts w:ascii="Times New Roman" w:eastAsia="Times New Roman" w:hAnsi="Times New Roman" w:cs="Times New Roman"/>
          <w:kern w:val="0"/>
          <w14:ligatures w14:val="none"/>
        </w:rPr>
        <w:t xml:space="preserve"> On any given day, the issuer's CDS spread moves 5 bps. Your FO model reprices using that exact 5 bp move on that exact name. Your risk model reprices using whatever the "European IG" bucket did that day — maybe it moved 3 bps, maybe 7. Every day, there's a gap. Over 250 days, that gap accumulates and fails the statistical test.</w:t>
      </w:r>
    </w:p>
    <w:p w14:paraId="5D9FF796"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For cash bonds, it's worse. Your FO model doesn't even see credit risk — it's pure discounting. But your risk model shocks a credit curve. The FO says "nothing happened to this bond from credit." The risk model says "credit moved and here's the P&amp;L." They will never agree.</w:t>
      </w:r>
    </w:p>
    <w:p w14:paraId="5CEA0FDB"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What needs to change:</w:t>
      </w:r>
      <w:r w:rsidRPr="0028536E">
        <w:rPr>
          <w:rFonts w:ascii="Times New Roman" w:eastAsia="Times New Roman" w:hAnsi="Times New Roman" w:cs="Times New Roman"/>
          <w:kern w:val="0"/>
          <w14:ligatures w14:val="none"/>
        </w:rPr>
        <w:t xml:space="preserve"> Both sides need to use the </w:t>
      </w:r>
      <w:r w:rsidRPr="0028536E">
        <w:rPr>
          <w:rFonts w:ascii="Times New Roman" w:eastAsia="Times New Roman" w:hAnsi="Times New Roman" w:cs="Times New Roman"/>
          <w:b/>
          <w:bCs/>
          <w:kern w:val="0"/>
          <w14:ligatures w14:val="none"/>
        </w:rPr>
        <w:t>same risk factors</w:t>
      </w:r>
      <w:r w:rsidRPr="0028536E">
        <w:rPr>
          <w:rFonts w:ascii="Times New Roman" w:eastAsia="Times New Roman" w:hAnsi="Times New Roman" w:cs="Times New Roman"/>
          <w:kern w:val="0"/>
          <w14:ligatures w14:val="none"/>
        </w:rPr>
        <w:t>. That means:</w:t>
      </w:r>
    </w:p>
    <w:p w14:paraId="1A6F20A6" w14:textId="77777777" w:rsidR="0028536E" w:rsidRPr="0028536E" w:rsidRDefault="0028536E" w:rsidP="002853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Cash bonds: FO model needs to incorporate credit risk — issuer or sector-level credit spread sensitivity, not just discounting.</w:t>
      </w:r>
    </w:p>
    <w:p w14:paraId="34443CD9" w14:textId="77777777" w:rsidR="0028536E" w:rsidRPr="0028536E" w:rsidRDefault="0028536E" w:rsidP="002853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 xml:space="preserve">CDS: Risk model needs to move from regional/rating buckets to </w:t>
      </w:r>
      <w:r w:rsidRPr="0028536E">
        <w:rPr>
          <w:rFonts w:ascii="Times New Roman" w:eastAsia="Times New Roman" w:hAnsi="Times New Roman" w:cs="Times New Roman"/>
          <w:b/>
          <w:bCs/>
          <w:kern w:val="0"/>
          <w14:ligatures w14:val="none"/>
        </w:rPr>
        <w:t>issuer-level</w:t>
      </w:r>
      <w:r w:rsidRPr="0028536E">
        <w:rPr>
          <w:rFonts w:ascii="Times New Roman" w:eastAsia="Times New Roman" w:hAnsi="Times New Roman" w:cs="Times New Roman"/>
          <w:kern w:val="0"/>
          <w14:ligatures w14:val="none"/>
        </w:rPr>
        <w:t xml:space="preserve"> spreads — or at minimum, the FO needs to map down to the same buckets risk uses. The granularity must match.</w:t>
      </w:r>
    </w:p>
    <w:p w14:paraId="38DF21AE"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 xml:space="preserve">This is the </w:t>
      </w:r>
      <w:r w:rsidRPr="0028536E">
        <w:rPr>
          <w:rFonts w:ascii="Times New Roman" w:eastAsia="Times New Roman" w:hAnsi="Times New Roman" w:cs="Times New Roman"/>
          <w:b/>
          <w:bCs/>
          <w:kern w:val="0"/>
          <w14:ligatures w14:val="none"/>
        </w:rPr>
        <w:t>alignment</w:t>
      </w:r>
      <w:r w:rsidRPr="0028536E">
        <w:rPr>
          <w:rFonts w:ascii="Times New Roman" w:eastAsia="Times New Roman" w:hAnsi="Times New Roman" w:cs="Times New Roman"/>
          <w:kern w:val="0"/>
          <w14:ligatures w14:val="none"/>
        </w:rPr>
        <w:t xml:space="preserve"> work. It's not optional — it's the prerequisite for passing PLA.</w:t>
      </w:r>
    </w:p>
    <w:p w14:paraId="631BE9AC"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pict w14:anchorId="555D4CC5">
          <v:rect id="_x0000_i1048" style="width:0;height:1.5pt" o:hralign="center" o:hrstd="t" o:hr="t" fillcolor="#a0a0a0" stroked="f"/>
        </w:pict>
      </w:r>
    </w:p>
    <w:p w14:paraId="40E0670B" w14:textId="77777777" w:rsidR="0028536E" w:rsidRPr="0028536E" w:rsidRDefault="0028536E" w:rsidP="002853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536E">
        <w:rPr>
          <w:rFonts w:ascii="Times New Roman" w:eastAsia="Times New Roman" w:hAnsi="Times New Roman" w:cs="Times New Roman"/>
          <w:b/>
          <w:bCs/>
          <w:kern w:val="0"/>
          <w:sz w:val="36"/>
          <w:szCs w:val="36"/>
          <w14:ligatures w14:val="none"/>
        </w:rPr>
        <w:t>Problem 2: Are Your Risk Factors Even Eligible?</w:t>
      </w:r>
    </w:p>
    <w:p w14:paraId="7BDDD8A0"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 xml:space="preserve">Before you can use a risk factor in IMA, you must prove it has good data. The regulator runs two tests — </w:t>
      </w:r>
      <w:r w:rsidRPr="0028536E">
        <w:rPr>
          <w:rFonts w:ascii="Times New Roman" w:eastAsia="Times New Roman" w:hAnsi="Times New Roman" w:cs="Times New Roman"/>
          <w:b/>
          <w:bCs/>
          <w:kern w:val="0"/>
          <w14:ligatures w14:val="none"/>
        </w:rPr>
        <w:t>quarterly</w:t>
      </w:r>
      <w:r w:rsidRPr="0028536E">
        <w:rPr>
          <w:rFonts w:ascii="Times New Roman" w:eastAsia="Times New Roman" w:hAnsi="Times New Roman" w:cs="Times New Roman"/>
          <w:kern w:val="0"/>
          <w14:ligatures w14:val="none"/>
        </w:rPr>
        <w:t>:</w:t>
      </w:r>
    </w:p>
    <w:p w14:paraId="08CC64D8"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Qualitative:</w:t>
      </w:r>
      <w:r w:rsidRPr="0028536E">
        <w:rPr>
          <w:rFonts w:ascii="Times New Roman" w:eastAsia="Times New Roman" w:hAnsi="Times New Roman" w:cs="Times New Roman"/>
          <w:kern w:val="0"/>
          <w14:ligatures w14:val="none"/>
        </w:rPr>
        <w:t xml:space="preserve"> Is the data real? Updated frequently? Reflects actual market prices? If you're using a proxy (e.g., rating-based curve instead of issuer-level), is it justified?</w:t>
      </w:r>
    </w:p>
    <w:p w14:paraId="2445698B"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Quantitative:</w:t>
      </w:r>
      <w:r w:rsidRPr="0028536E">
        <w:rPr>
          <w:rFonts w:ascii="Times New Roman" w:eastAsia="Times New Roman" w:hAnsi="Times New Roman" w:cs="Times New Roman"/>
          <w:kern w:val="0"/>
          <w14:ligatures w14:val="none"/>
        </w:rPr>
        <w:t xml:space="preserve"> Over the last 12 months, how many </w:t>
      </w:r>
      <w:r w:rsidRPr="0028536E">
        <w:rPr>
          <w:rFonts w:ascii="Times New Roman" w:eastAsia="Times New Roman" w:hAnsi="Times New Roman" w:cs="Times New Roman"/>
          <w:b/>
          <w:bCs/>
          <w:kern w:val="0"/>
          <w14:ligatures w14:val="none"/>
        </w:rPr>
        <w:t>real price observations</w:t>
      </w:r>
      <w:r w:rsidRPr="0028536E">
        <w:rPr>
          <w:rFonts w:ascii="Times New Roman" w:eastAsia="Times New Roman" w:hAnsi="Times New Roman" w:cs="Times New Roman"/>
          <w:kern w:val="0"/>
          <w14:ligatures w14:val="none"/>
        </w:rPr>
        <w:t xml:space="preserve"> do you have? For credit spreads (liquidity horizon 40–60 days), you need at least </w:t>
      </w:r>
      <w:r w:rsidRPr="0028536E">
        <w:rPr>
          <w:rFonts w:ascii="Times New Roman" w:eastAsia="Times New Roman" w:hAnsi="Times New Roman" w:cs="Times New Roman"/>
          <w:b/>
          <w:bCs/>
          <w:kern w:val="0"/>
          <w14:ligatures w14:val="none"/>
        </w:rPr>
        <w:t>16 real prices per year</w:t>
      </w:r>
      <w:r w:rsidRPr="0028536E">
        <w:rPr>
          <w:rFonts w:ascii="Times New Roman" w:eastAsia="Times New Roman" w:hAnsi="Times New Roman" w:cs="Times New Roman"/>
          <w:kern w:val="0"/>
          <w14:ligatures w14:val="none"/>
        </w:rPr>
        <w:t>. Not model marks — actual trades or firm quotes.</w:t>
      </w:r>
    </w:p>
    <w:p w14:paraId="15EEC062"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Here's your problem in credit:</w:t>
      </w:r>
    </w:p>
    <w:p w14:paraId="03571CA3" w14:textId="77777777" w:rsidR="0028536E" w:rsidRPr="0028536E" w:rsidRDefault="0028536E" w:rsidP="002853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Liquid IG names</w:t>
      </w:r>
      <w:r w:rsidRPr="0028536E">
        <w:rPr>
          <w:rFonts w:ascii="Times New Roman" w:eastAsia="Times New Roman" w:hAnsi="Times New Roman" w:cs="Times New Roman"/>
          <w:kern w:val="0"/>
          <w14:ligatures w14:val="none"/>
        </w:rPr>
        <w:t xml:space="preserve"> (JPMorgan CDS, Apple bonds) — probably pass. Plenty of real prices.</w:t>
      </w:r>
    </w:p>
    <w:p w14:paraId="3FF2530F" w14:textId="77777777" w:rsidR="0028536E" w:rsidRPr="0028536E" w:rsidRDefault="0028536E" w:rsidP="002853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lastRenderedPageBreak/>
        <w:t>Less liquid IG names</w:t>
      </w:r>
      <w:r w:rsidRPr="0028536E">
        <w:rPr>
          <w:rFonts w:ascii="Times New Roman" w:eastAsia="Times New Roman" w:hAnsi="Times New Roman" w:cs="Times New Roman"/>
          <w:kern w:val="0"/>
          <w14:ligatures w14:val="none"/>
        </w:rPr>
        <w:t xml:space="preserve"> — might pass quantitative but it's tight. 16 observations in 12 months means roughly one real trade per month.</w:t>
      </w:r>
    </w:p>
    <w:p w14:paraId="4E6948FB" w14:textId="77777777" w:rsidR="0028536E" w:rsidRPr="0028536E" w:rsidRDefault="0028536E" w:rsidP="002853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HY and distressed names</w:t>
      </w:r>
      <w:r w:rsidRPr="0028536E">
        <w:rPr>
          <w:rFonts w:ascii="Times New Roman" w:eastAsia="Times New Roman" w:hAnsi="Times New Roman" w:cs="Times New Roman"/>
          <w:kern w:val="0"/>
          <w14:ligatures w14:val="none"/>
        </w:rPr>
        <w:t xml:space="preserve"> — likely fail. Many HY single-name CDS trade a handful of times per year. Not enough real prices.</w:t>
      </w:r>
    </w:p>
    <w:p w14:paraId="3821998E" w14:textId="77777777" w:rsidR="0028536E" w:rsidRPr="0028536E" w:rsidRDefault="0028536E" w:rsidP="002853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Exotic credit</w:t>
      </w:r>
      <w:r w:rsidRPr="0028536E">
        <w:rPr>
          <w:rFonts w:ascii="Times New Roman" w:eastAsia="Times New Roman" w:hAnsi="Times New Roman" w:cs="Times New Roman"/>
          <w:kern w:val="0"/>
          <w14:ligatures w14:val="none"/>
        </w:rPr>
        <w:t xml:space="preserve"> (bespoke tranches, nth-to-default) — almost certainly fail both tests.</w:t>
      </w:r>
    </w:p>
    <w:p w14:paraId="7C0CA44A"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 xml:space="preserve">If a risk factor </w:t>
      </w:r>
      <w:r w:rsidRPr="0028536E">
        <w:rPr>
          <w:rFonts w:ascii="Times New Roman" w:eastAsia="Times New Roman" w:hAnsi="Times New Roman" w:cs="Times New Roman"/>
          <w:b/>
          <w:bCs/>
          <w:kern w:val="0"/>
          <w14:ligatures w14:val="none"/>
        </w:rPr>
        <w:t>fails</w:t>
      </w:r>
      <w:r w:rsidRPr="0028536E">
        <w:rPr>
          <w:rFonts w:ascii="Times New Roman" w:eastAsia="Times New Roman" w:hAnsi="Times New Roman" w:cs="Times New Roman"/>
          <w:kern w:val="0"/>
          <w14:ligatures w14:val="none"/>
        </w:rPr>
        <w:t xml:space="preserve">, it becomes a </w:t>
      </w:r>
      <w:r w:rsidRPr="0028536E">
        <w:rPr>
          <w:rFonts w:ascii="Times New Roman" w:eastAsia="Times New Roman" w:hAnsi="Times New Roman" w:cs="Times New Roman"/>
          <w:b/>
          <w:bCs/>
          <w:kern w:val="0"/>
          <w14:ligatures w14:val="none"/>
        </w:rPr>
        <w:t>Non-Modellable Risk Factor (NMRF)</w:t>
      </w:r>
      <w:r w:rsidRPr="0028536E">
        <w:rPr>
          <w:rFonts w:ascii="Times New Roman" w:eastAsia="Times New Roman" w:hAnsi="Times New Roman" w:cs="Times New Roman"/>
          <w:kern w:val="0"/>
          <w14:ligatures w14:val="none"/>
        </w:rPr>
        <w:t xml:space="preserve">. NMRFs get a capital </w:t>
      </w:r>
      <w:r w:rsidRPr="0028536E">
        <w:rPr>
          <w:rFonts w:ascii="Times New Roman" w:eastAsia="Times New Roman" w:hAnsi="Times New Roman" w:cs="Times New Roman"/>
          <w:b/>
          <w:bCs/>
          <w:kern w:val="0"/>
          <w14:ligatures w14:val="none"/>
        </w:rPr>
        <w:t>penalty</w:t>
      </w:r>
      <w:r w:rsidRPr="0028536E">
        <w:rPr>
          <w:rFonts w:ascii="Times New Roman" w:eastAsia="Times New Roman" w:hAnsi="Times New Roman" w:cs="Times New Roman"/>
          <w:kern w:val="0"/>
          <w14:ligatures w14:val="none"/>
        </w:rPr>
        <w:t xml:space="preserve"> called SES, charged on top of the normal ES-based capital, with limited or no diversification benefit. Type B NMRFs (worst data quality) get </w:t>
      </w:r>
      <w:r w:rsidRPr="0028536E">
        <w:rPr>
          <w:rFonts w:ascii="Times New Roman" w:eastAsia="Times New Roman" w:hAnsi="Times New Roman" w:cs="Times New Roman"/>
          <w:b/>
          <w:bCs/>
          <w:kern w:val="0"/>
          <w14:ligatures w14:val="none"/>
        </w:rPr>
        <w:t>zero diversification</w:t>
      </w:r>
      <w:r w:rsidRPr="0028536E">
        <w:rPr>
          <w:rFonts w:ascii="Times New Roman" w:eastAsia="Times New Roman" w:hAnsi="Times New Roman" w:cs="Times New Roman"/>
          <w:kern w:val="0"/>
          <w14:ligatures w14:val="none"/>
        </w:rPr>
        <w:t xml:space="preserve"> — each one just stacks capital on top.</w:t>
      </w:r>
    </w:p>
    <w:p w14:paraId="0C07A492"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The math is simple:</w:t>
      </w:r>
      <w:r w:rsidRPr="0028536E">
        <w:rPr>
          <w:rFonts w:ascii="Times New Roman" w:eastAsia="Times New Roman" w:hAnsi="Times New Roman" w:cs="Times New Roman"/>
          <w:kern w:val="0"/>
          <w14:ligatures w14:val="none"/>
        </w:rPr>
        <w:t xml:space="preserve"> every credit risk factor you can prove is modellable saves you capital. Every one that ends up non-modellable costs you a surcharge. For a large credit book, the difference between having 80% vs. 50% of risk factors modellable can be hundreds of millions in capital.</w:t>
      </w:r>
    </w:p>
    <w:p w14:paraId="1C4127EB"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pict w14:anchorId="7756F46F">
          <v:rect id="_x0000_i1049" style="width:0;height:1.5pt" o:hralign="center" o:hrstd="t" o:hr="t" fillcolor="#a0a0a0" stroked="f"/>
        </w:pict>
      </w:r>
    </w:p>
    <w:p w14:paraId="0AA522AA" w14:textId="77777777" w:rsidR="0028536E" w:rsidRPr="0028536E" w:rsidRDefault="0028536E" w:rsidP="002853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536E">
        <w:rPr>
          <w:rFonts w:ascii="Times New Roman" w:eastAsia="Times New Roman" w:hAnsi="Times New Roman" w:cs="Times New Roman"/>
          <w:b/>
          <w:bCs/>
          <w:kern w:val="0"/>
          <w:sz w:val="36"/>
          <w:szCs w:val="36"/>
          <w14:ligatures w14:val="none"/>
        </w:rPr>
        <w:t xml:space="preserve">Problem 3: </w:t>
      </w:r>
      <w:proofErr w:type="spellStart"/>
      <w:r w:rsidRPr="0028536E">
        <w:rPr>
          <w:rFonts w:ascii="Times New Roman" w:eastAsia="Times New Roman" w:hAnsi="Times New Roman" w:cs="Times New Roman"/>
          <w:b/>
          <w:bCs/>
          <w:kern w:val="0"/>
          <w:sz w:val="36"/>
          <w:szCs w:val="36"/>
          <w14:ligatures w14:val="none"/>
        </w:rPr>
        <w:t>VaR</w:t>
      </w:r>
      <w:proofErr w:type="spellEnd"/>
      <w:r w:rsidRPr="0028536E">
        <w:rPr>
          <w:rFonts w:ascii="Times New Roman" w:eastAsia="Times New Roman" w:hAnsi="Times New Roman" w:cs="Times New Roman"/>
          <w:b/>
          <w:bCs/>
          <w:kern w:val="0"/>
          <w:sz w:val="36"/>
          <w:szCs w:val="36"/>
          <w14:ligatures w14:val="none"/>
        </w:rPr>
        <w:t xml:space="preserve"> Is Dead — You Need ES with Liquidity Scaling</w:t>
      </w:r>
    </w:p>
    <w:p w14:paraId="7C2F8163"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 xml:space="preserve">Under IMA, capital is based on </w:t>
      </w:r>
      <w:r w:rsidRPr="0028536E">
        <w:rPr>
          <w:rFonts w:ascii="Times New Roman" w:eastAsia="Times New Roman" w:hAnsi="Times New Roman" w:cs="Times New Roman"/>
          <w:b/>
          <w:bCs/>
          <w:kern w:val="0"/>
          <w14:ligatures w14:val="none"/>
        </w:rPr>
        <w:t>Expected Shortfall (ES)</w:t>
      </w:r>
      <w:r w:rsidRPr="0028536E">
        <w:rPr>
          <w:rFonts w:ascii="Times New Roman" w:eastAsia="Times New Roman" w:hAnsi="Times New Roman" w:cs="Times New Roman"/>
          <w:kern w:val="0"/>
          <w14:ligatures w14:val="none"/>
        </w:rPr>
        <w:t xml:space="preserve">, not </w:t>
      </w:r>
      <w:proofErr w:type="spellStart"/>
      <w:r w:rsidRPr="0028536E">
        <w:rPr>
          <w:rFonts w:ascii="Times New Roman" w:eastAsia="Times New Roman" w:hAnsi="Times New Roman" w:cs="Times New Roman"/>
          <w:kern w:val="0"/>
          <w14:ligatures w14:val="none"/>
        </w:rPr>
        <w:t>VaR.</w:t>
      </w:r>
      <w:proofErr w:type="spellEnd"/>
      <w:r w:rsidRPr="0028536E">
        <w:rPr>
          <w:rFonts w:ascii="Times New Roman" w:eastAsia="Times New Roman" w:hAnsi="Times New Roman" w:cs="Times New Roman"/>
          <w:kern w:val="0"/>
          <w14:ligatures w14:val="none"/>
        </w:rPr>
        <w:t xml:space="preserve"> </w:t>
      </w:r>
      <w:proofErr w:type="spellStart"/>
      <w:r w:rsidRPr="0028536E">
        <w:rPr>
          <w:rFonts w:ascii="Times New Roman" w:eastAsia="Times New Roman" w:hAnsi="Times New Roman" w:cs="Times New Roman"/>
          <w:kern w:val="0"/>
          <w14:ligatures w14:val="none"/>
        </w:rPr>
        <w:t>VaR</w:t>
      </w:r>
      <w:proofErr w:type="spellEnd"/>
      <w:r w:rsidRPr="0028536E">
        <w:rPr>
          <w:rFonts w:ascii="Times New Roman" w:eastAsia="Times New Roman" w:hAnsi="Times New Roman" w:cs="Times New Roman"/>
          <w:kern w:val="0"/>
          <w14:ligatures w14:val="none"/>
        </w:rPr>
        <w:t xml:space="preserve"> tells you the boundary of the worst days. ES tells you the </w:t>
      </w:r>
      <w:r w:rsidRPr="0028536E">
        <w:rPr>
          <w:rFonts w:ascii="Times New Roman" w:eastAsia="Times New Roman" w:hAnsi="Times New Roman" w:cs="Times New Roman"/>
          <w:b/>
          <w:bCs/>
          <w:kern w:val="0"/>
          <w14:ligatures w14:val="none"/>
        </w:rPr>
        <w:t>average loss</w:t>
      </w:r>
      <w:r w:rsidRPr="0028536E">
        <w:rPr>
          <w:rFonts w:ascii="Times New Roman" w:eastAsia="Times New Roman" w:hAnsi="Times New Roman" w:cs="Times New Roman"/>
          <w:kern w:val="0"/>
          <w14:ligatures w14:val="none"/>
        </w:rPr>
        <w:t xml:space="preserve"> on those worst days — it captures tail risk that </w:t>
      </w:r>
      <w:proofErr w:type="spellStart"/>
      <w:r w:rsidRPr="0028536E">
        <w:rPr>
          <w:rFonts w:ascii="Times New Roman" w:eastAsia="Times New Roman" w:hAnsi="Times New Roman" w:cs="Times New Roman"/>
          <w:kern w:val="0"/>
          <w14:ligatures w14:val="none"/>
        </w:rPr>
        <w:t>VaR</w:t>
      </w:r>
      <w:proofErr w:type="spellEnd"/>
      <w:r w:rsidRPr="0028536E">
        <w:rPr>
          <w:rFonts w:ascii="Times New Roman" w:eastAsia="Times New Roman" w:hAnsi="Times New Roman" w:cs="Times New Roman"/>
          <w:kern w:val="0"/>
          <w14:ligatures w14:val="none"/>
        </w:rPr>
        <w:t xml:space="preserve"> misses.</w:t>
      </w:r>
    </w:p>
    <w:p w14:paraId="4583A48E"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 xml:space="preserve">But here's the part that matters for credit: </w:t>
      </w:r>
      <w:r w:rsidRPr="0028536E">
        <w:rPr>
          <w:rFonts w:ascii="Times New Roman" w:eastAsia="Times New Roman" w:hAnsi="Times New Roman" w:cs="Times New Roman"/>
          <w:b/>
          <w:bCs/>
          <w:kern w:val="0"/>
          <w14:ligatures w14:val="none"/>
        </w:rPr>
        <w:t>liquidity horizons</w:t>
      </w:r>
      <w:r w:rsidRPr="0028536E">
        <w:rPr>
          <w:rFonts w:ascii="Times New Roman" w:eastAsia="Times New Roman" w:hAnsi="Times New Roman" w:cs="Times New Roman"/>
          <w:kern w:val="0"/>
          <w14:ligatures w14:val="none"/>
        </w:rPr>
        <w:t>. The regulator says credit risk factors take longer to exit than equity or FX, so the shock must be scaled up:</w:t>
      </w:r>
    </w:p>
    <w:p w14:paraId="664CC382" w14:textId="77777777" w:rsidR="0028536E" w:rsidRPr="0028536E" w:rsidRDefault="0028536E" w:rsidP="002853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IG credit spreads:</w:t>
      </w:r>
      <w:r w:rsidRPr="0028536E">
        <w:rPr>
          <w:rFonts w:ascii="Times New Roman" w:eastAsia="Times New Roman" w:hAnsi="Times New Roman" w:cs="Times New Roman"/>
          <w:kern w:val="0"/>
          <w14:ligatures w14:val="none"/>
        </w:rPr>
        <w:t xml:space="preserve"> 40-day liquidity horizon → shock is </w:t>
      </w:r>
      <w:r w:rsidRPr="0028536E">
        <w:rPr>
          <w:rFonts w:ascii="Times New Roman" w:eastAsia="Times New Roman" w:hAnsi="Times New Roman" w:cs="Times New Roman"/>
          <w:b/>
          <w:bCs/>
          <w:kern w:val="0"/>
          <w14:ligatures w14:val="none"/>
        </w:rPr>
        <w:t>2x</w:t>
      </w:r>
      <w:r w:rsidRPr="0028536E">
        <w:rPr>
          <w:rFonts w:ascii="Times New Roman" w:eastAsia="Times New Roman" w:hAnsi="Times New Roman" w:cs="Times New Roman"/>
          <w:kern w:val="0"/>
          <w14:ligatures w14:val="none"/>
        </w:rPr>
        <w:t xml:space="preserve"> the 10-day base</w:t>
      </w:r>
    </w:p>
    <w:p w14:paraId="29F54FF5" w14:textId="77777777" w:rsidR="0028536E" w:rsidRPr="0028536E" w:rsidRDefault="0028536E" w:rsidP="002853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HY credit spreads:</w:t>
      </w:r>
      <w:r w:rsidRPr="0028536E">
        <w:rPr>
          <w:rFonts w:ascii="Times New Roman" w:eastAsia="Times New Roman" w:hAnsi="Times New Roman" w:cs="Times New Roman"/>
          <w:kern w:val="0"/>
          <w14:ligatures w14:val="none"/>
        </w:rPr>
        <w:t xml:space="preserve"> 60-day horizon → shock is </w:t>
      </w:r>
      <w:r w:rsidRPr="0028536E">
        <w:rPr>
          <w:rFonts w:ascii="Times New Roman" w:eastAsia="Times New Roman" w:hAnsi="Times New Roman" w:cs="Times New Roman"/>
          <w:b/>
          <w:bCs/>
          <w:kern w:val="0"/>
          <w14:ligatures w14:val="none"/>
        </w:rPr>
        <w:t>2.4x</w:t>
      </w:r>
    </w:p>
    <w:p w14:paraId="43093BE7" w14:textId="77777777" w:rsidR="0028536E" w:rsidRPr="0028536E" w:rsidRDefault="0028536E" w:rsidP="002853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Small-cap / illiquid credit vol:</w:t>
      </w:r>
      <w:r w:rsidRPr="0028536E">
        <w:rPr>
          <w:rFonts w:ascii="Times New Roman" w:eastAsia="Times New Roman" w:hAnsi="Times New Roman" w:cs="Times New Roman"/>
          <w:kern w:val="0"/>
          <w14:ligatures w14:val="none"/>
        </w:rPr>
        <w:t xml:space="preserve"> 120-day horizon → shock is </w:t>
      </w:r>
      <w:r w:rsidRPr="0028536E">
        <w:rPr>
          <w:rFonts w:ascii="Times New Roman" w:eastAsia="Times New Roman" w:hAnsi="Times New Roman" w:cs="Times New Roman"/>
          <w:b/>
          <w:bCs/>
          <w:kern w:val="0"/>
          <w14:ligatures w14:val="none"/>
        </w:rPr>
        <w:t>3.5x</w:t>
      </w:r>
    </w:p>
    <w:p w14:paraId="544BD4D9"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 xml:space="preserve">Your credit book will have some of the </w:t>
      </w:r>
      <w:r w:rsidRPr="0028536E">
        <w:rPr>
          <w:rFonts w:ascii="Times New Roman" w:eastAsia="Times New Roman" w:hAnsi="Times New Roman" w:cs="Times New Roman"/>
          <w:b/>
          <w:bCs/>
          <w:kern w:val="0"/>
          <w14:ligatures w14:val="none"/>
        </w:rPr>
        <w:t>longest liquidity horizons</w:t>
      </w:r>
      <w:r w:rsidRPr="0028536E">
        <w:rPr>
          <w:rFonts w:ascii="Times New Roman" w:eastAsia="Times New Roman" w:hAnsi="Times New Roman" w:cs="Times New Roman"/>
          <w:kern w:val="0"/>
          <w14:ligatures w14:val="none"/>
        </w:rPr>
        <w:t xml:space="preserve"> in the firm. That means the ES shocks will be large. Combined with the NMRF penalties for illiquid names, the credit desk's IMA capital could still be substantial — but if you have good hedges (CDS vs. bonds, index vs. single-name), IMA will recognize them far better than SA does.</w:t>
      </w:r>
    </w:p>
    <w:p w14:paraId="7C31710E"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pict w14:anchorId="5DEC427B">
          <v:rect id="_x0000_i1050" style="width:0;height:1.5pt" o:hralign="center" o:hrstd="t" o:hr="t" fillcolor="#a0a0a0" stroked="f"/>
        </w:pict>
      </w:r>
    </w:p>
    <w:p w14:paraId="0FCB1954" w14:textId="77777777" w:rsidR="0028536E" w:rsidRPr="0028536E" w:rsidRDefault="0028536E" w:rsidP="002853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536E">
        <w:rPr>
          <w:rFonts w:ascii="Times New Roman" w:eastAsia="Times New Roman" w:hAnsi="Times New Roman" w:cs="Times New Roman"/>
          <w:b/>
          <w:bCs/>
          <w:kern w:val="0"/>
          <w:sz w:val="36"/>
          <w:szCs w:val="36"/>
          <w14:ligatures w14:val="none"/>
        </w:rPr>
        <w:t>Problem 4: Time Effects and Carry</w:t>
      </w:r>
    </w:p>
    <w:p w14:paraId="7D976D13"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Credit positions have significant carry — coupon accrual on bonds, premium accrual on CDS. Under IMA, you need to decide: include or exclude these time effects from your daily P&amp;L comparison (PLA test)?</w:t>
      </w:r>
    </w:p>
    <w:p w14:paraId="35406FA2"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lastRenderedPageBreak/>
        <w:t>Our recommendation: exclude.</w:t>
      </w:r>
      <w:r w:rsidRPr="0028536E">
        <w:rPr>
          <w:rFonts w:ascii="Times New Roman" w:eastAsia="Times New Roman" w:hAnsi="Times New Roman" w:cs="Times New Roman"/>
          <w:kern w:val="0"/>
          <w14:ligatures w14:val="none"/>
        </w:rPr>
        <w:t xml:space="preserve"> Strip carry from both HPL and RTPL. Why? Because your FO model computes coupon accrual using its own day-count convention and accrual timing, and your risk model computes it differently. That difference — even if tiny — shows up every single day and accumulates over 250 days into PLA failure.</w:t>
      </w:r>
    </w:p>
    <w:p w14:paraId="04076BE7"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 xml:space="preserve">Strip carry from both sides, and the PLA test only compares </w:t>
      </w:r>
      <w:r w:rsidRPr="0028536E">
        <w:rPr>
          <w:rFonts w:ascii="Times New Roman" w:eastAsia="Times New Roman" w:hAnsi="Times New Roman" w:cs="Times New Roman"/>
          <w:b/>
          <w:bCs/>
          <w:kern w:val="0"/>
          <w14:ligatures w14:val="none"/>
        </w:rPr>
        <w:t>pure credit spread moves</w:t>
      </w:r>
      <w:r w:rsidRPr="0028536E">
        <w:rPr>
          <w:rFonts w:ascii="Times New Roman" w:eastAsia="Times New Roman" w:hAnsi="Times New Roman" w:cs="Times New Roman"/>
          <w:kern w:val="0"/>
          <w14:ligatures w14:val="none"/>
        </w:rPr>
        <w:t>. That's a much cleaner comparison.</w:t>
      </w:r>
    </w:p>
    <w:p w14:paraId="2BC32C6D"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pict w14:anchorId="4BBF41C6">
          <v:rect id="_x0000_i1051" style="width:0;height:1.5pt" o:hralign="center" o:hrstd="t" o:hr="t" fillcolor="#a0a0a0" stroked="f"/>
        </w:pict>
      </w:r>
    </w:p>
    <w:p w14:paraId="798C0B37" w14:textId="77777777" w:rsidR="0028536E" w:rsidRPr="0028536E" w:rsidRDefault="0028536E" w:rsidP="002853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28536E">
        <w:rPr>
          <w:rFonts w:ascii="Times New Roman" w:eastAsia="Times New Roman" w:hAnsi="Times New Roman" w:cs="Times New Roman"/>
          <w:b/>
          <w:bCs/>
          <w:kern w:val="0"/>
          <w:sz w:val="36"/>
          <w:szCs w:val="36"/>
          <w14:ligatures w14:val="none"/>
        </w:rPr>
        <w:t>So</w:t>
      </w:r>
      <w:proofErr w:type="gramEnd"/>
      <w:r w:rsidRPr="0028536E">
        <w:rPr>
          <w:rFonts w:ascii="Times New Roman" w:eastAsia="Times New Roman" w:hAnsi="Times New Roman" w:cs="Times New Roman"/>
          <w:b/>
          <w:bCs/>
          <w:kern w:val="0"/>
          <w:sz w:val="36"/>
          <w:szCs w:val="36"/>
          <w14:ligatures w14:val="none"/>
        </w:rPr>
        <w:t xml:space="preserve"> What Do We Actually Need to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233"/>
        <w:gridCol w:w="3932"/>
      </w:tblGrid>
      <w:tr w:rsidR="0028536E" w:rsidRPr="0028536E" w14:paraId="45141478" w14:textId="77777777">
        <w:trPr>
          <w:tblHeader/>
          <w:tblCellSpacing w:w="15" w:type="dxa"/>
        </w:trPr>
        <w:tc>
          <w:tcPr>
            <w:tcW w:w="0" w:type="auto"/>
            <w:vAlign w:val="center"/>
            <w:hideMark/>
          </w:tcPr>
          <w:p w14:paraId="0C9730F9" w14:textId="77777777" w:rsidR="0028536E" w:rsidRPr="0028536E" w:rsidRDefault="0028536E" w:rsidP="0028536E">
            <w:pPr>
              <w:spacing w:after="0" w:line="240" w:lineRule="auto"/>
              <w:jc w:val="center"/>
              <w:rPr>
                <w:rFonts w:ascii="Times New Roman" w:eastAsia="Times New Roman" w:hAnsi="Times New Roman" w:cs="Times New Roman"/>
                <w:b/>
                <w:bCs/>
                <w:kern w:val="0"/>
                <w14:ligatures w14:val="none"/>
              </w:rPr>
            </w:pPr>
            <w:r w:rsidRPr="0028536E">
              <w:rPr>
                <w:rFonts w:ascii="Times New Roman" w:eastAsia="Times New Roman" w:hAnsi="Times New Roman" w:cs="Times New Roman"/>
                <w:b/>
                <w:bCs/>
                <w:kern w:val="0"/>
                <w14:ligatures w14:val="none"/>
              </w:rPr>
              <w:t>#</w:t>
            </w:r>
          </w:p>
        </w:tc>
        <w:tc>
          <w:tcPr>
            <w:tcW w:w="0" w:type="auto"/>
            <w:vAlign w:val="center"/>
            <w:hideMark/>
          </w:tcPr>
          <w:p w14:paraId="1F3E7AD4" w14:textId="77777777" w:rsidR="0028536E" w:rsidRPr="0028536E" w:rsidRDefault="0028536E" w:rsidP="0028536E">
            <w:pPr>
              <w:spacing w:after="0" w:line="240" w:lineRule="auto"/>
              <w:jc w:val="center"/>
              <w:rPr>
                <w:rFonts w:ascii="Times New Roman" w:eastAsia="Times New Roman" w:hAnsi="Times New Roman" w:cs="Times New Roman"/>
                <w:b/>
                <w:bCs/>
                <w:kern w:val="0"/>
                <w14:ligatures w14:val="none"/>
              </w:rPr>
            </w:pPr>
            <w:r w:rsidRPr="0028536E">
              <w:rPr>
                <w:rFonts w:ascii="Times New Roman" w:eastAsia="Times New Roman" w:hAnsi="Times New Roman" w:cs="Times New Roman"/>
                <w:b/>
                <w:bCs/>
                <w:kern w:val="0"/>
                <w14:ligatures w14:val="none"/>
              </w:rPr>
              <w:t>Work Item</w:t>
            </w:r>
          </w:p>
        </w:tc>
        <w:tc>
          <w:tcPr>
            <w:tcW w:w="0" w:type="auto"/>
            <w:vAlign w:val="center"/>
            <w:hideMark/>
          </w:tcPr>
          <w:p w14:paraId="3AFADD99" w14:textId="77777777" w:rsidR="0028536E" w:rsidRPr="0028536E" w:rsidRDefault="0028536E" w:rsidP="0028536E">
            <w:pPr>
              <w:spacing w:after="0" w:line="240" w:lineRule="auto"/>
              <w:jc w:val="center"/>
              <w:rPr>
                <w:rFonts w:ascii="Times New Roman" w:eastAsia="Times New Roman" w:hAnsi="Times New Roman" w:cs="Times New Roman"/>
                <w:b/>
                <w:bCs/>
                <w:kern w:val="0"/>
                <w14:ligatures w14:val="none"/>
              </w:rPr>
            </w:pPr>
            <w:r w:rsidRPr="0028536E">
              <w:rPr>
                <w:rFonts w:ascii="Times New Roman" w:eastAsia="Times New Roman" w:hAnsi="Times New Roman" w:cs="Times New Roman"/>
                <w:b/>
                <w:bCs/>
                <w:kern w:val="0"/>
                <w14:ligatures w14:val="none"/>
              </w:rPr>
              <w:t>Why</w:t>
            </w:r>
          </w:p>
        </w:tc>
      </w:tr>
      <w:tr w:rsidR="0028536E" w:rsidRPr="0028536E" w14:paraId="61BE98CC" w14:textId="77777777">
        <w:trPr>
          <w:tblCellSpacing w:w="15" w:type="dxa"/>
        </w:trPr>
        <w:tc>
          <w:tcPr>
            <w:tcW w:w="0" w:type="auto"/>
            <w:vAlign w:val="center"/>
            <w:hideMark/>
          </w:tcPr>
          <w:p w14:paraId="2E6209ED"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1</w:t>
            </w:r>
          </w:p>
        </w:tc>
        <w:tc>
          <w:tcPr>
            <w:tcW w:w="0" w:type="auto"/>
            <w:vAlign w:val="center"/>
            <w:hideMark/>
          </w:tcPr>
          <w:p w14:paraId="022383C5"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Align FO and Risk models</w:t>
            </w:r>
            <w:r w:rsidRPr="0028536E">
              <w:rPr>
                <w:rFonts w:ascii="Times New Roman" w:eastAsia="Times New Roman" w:hAnsi="Times New Roman" w:cs="Times New Roman"/>
                <w:kern w:val="0"/>
                <w14:ligatures w14:val="none"/>
              </w:rPr>
              <w:t xml:space="preserve"> — same risk factors, same granularity (issuer-level or consistent buckets)</w:t>
            </w:r>
          </w:p>
        </w:tc>
        <w:tc>
          <w:tcPr>
            <w:tcW w:w="0" w:type="auto"/>
            <w:vAlign w:val="center"/>
            <w:hideMark/>
          </w:tcPr>
          <w:p w14:paraId="2782D8A9"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Without this, PLA fails. No PLA = no IMA.</w:t>
            </w:r>
          </w:p>
        </w:tc>
      </w:tr>
      <w:tr w:rsidR="0028536E" w:rsidRPr="0028536E" w14:paraId="2F2CDFAE" w14:textId="77777777">
        <w:trPr>
          <w:tblCellSpacing w:w="15" w:type="dxa"/>
        </w:trPr>
        <w:tc>
          <w:tcPr>
            <w:tcW w:w="0" w:type="auto"/>
            <w:vAlign w:val="center"/>
            <w:hideMark/>
          </w:tcPr>
          <w:p w14:paraId="67F8ACF0"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2</w:t>
            </w:r>
          </w:p>
        </w:tc>
        <w:tc>
          <w:tcPr>
            <w:tcW w:w="0" w:type="auto"/>
            <w:vAlign w:val="center"/>
            <w:hideMark/>
          </w:tcPr>
          <w:p w14:paraId="4A0F636E"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Upgrade cash bond FO model</w:t>
            </w:r>
            <w:r w:rsidRPr="0028536E">
              <w:rPr>
                <w:rFonts w:ascii="Times New Roman" w:eastAsia="Times New Roman" w:hAnsi="Times New Roman" w:cs="Times New Roman"/>
                <w:kern w:val="0"/>
                <w14:ligatures w14:val="none"/>
              </w:rPr>
              <w:t xml:space="preserve"> — add credit spread sensitivity, not just discounting</w:t>
            </w:r>
          </w:p>
        </w:tc>
        <w:tc>
          <w:tcPr>
            <w:tcW w:w="0" w:type="auto"/>
            <w:vAlign w:val="center"/>
            <w:hideMark/>
          </w:tcPr>
          <w:p w14:paraId="4B66508C"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Current model is blind to credit risk. Risk model isn't. They'll never agree.</w:t>
            </w:r>
          </w:p>
        </w:tc>
      </w:tr>
      <w:tr w:rsidR="0028536E" w:rsidRPr="0028536E" w14:paraId="2FC6AC1D" w14:textId="77777777">
        <w:trPr>
          <w:tblCellSpacing w:w="15" w:type="dxa"/>
        </w:trPr>
        <w:tc>
          <w:tcPr>
            <w:tcW w:w="0" w:type="auto"/>
            <w:vAlign w:val="center"/>
            <w:hideMark/>
          </w:tcPr>
          <w:p w14:paraId="678DE15D"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3</w:t>
            </w:r>
          </w:p>
        </w:tc>
        <w:tc>
          <w:tcPr>
            <w:tcW w:w="0" w:type="auto"/>
            <w:vAlign w:val="center"/>
            <w:hideMark/>
          </w:tcPr>
          <w:p w14:paraId="490B8DBE"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Build RFET engine</w:t>
            </w:r>
            <w:r w:rsidRPr="0028536E">
              <w:rPr>
                <w:rFonts w:ascii="Times New Roman" w:eastAsia="Times New Roman" w:hAnsi="Times New Roman" w:cs="Times New Roman"/>
                <w:kern w:val="0"/>
                <w14:ligatures w14:val="none"/>
              </w:rPr>
              <w:t xml:space="preserve"> — source real prices, count observations, classify quarterly</w:t>
            </w:r>
          </w:p>
        </w:tc>
        <w:tc>
          <w:tcPr>
            <w:tcW w:w="0" w:type="auto"/>
            <w:vAlign w:val="center"/>
            <w:hideMark/>
          </w:tcPr>
          <w:p w14:paraId="5B498D82"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Determines modellable vs. NMRF. Directly drives capital.</w:t>
            </w:r>
          </w:p>
        </w:tc>
      </w:tr>
      <w:tr w:rsidR="0028536E" w:rsidRPr="0028536E" w14:paraId="492E3C5C" w14:textId="77777777">
        <w:trPr>
          <w:tblCellSpacing w:w="15" w:type="dxa"/>
        </w:trPr>
        <w:tc>
          <w:tcPr>
            <w:tcW w:w="0" w:type="auto"/>
            <w:vAlign w:val="center"/>
            <w:hideMark/>
          </w:tcPr>
          <w:p w14:paraId="73C59FFC"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4</w:t>
            </w:r>
          </w:p>
        </w:tc>
        <w:tc>
          <w:tcPr>
            <w:tcW w:w="0" w:type="auto"/>
            <w:vAlign w:val="center"/>
            <w:hideMark/>
          </w:tcPr>
          <w:p w14:paraId="7F978360"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Maximize real price sourcing</w:t>
            </w:r>
            <w:r w:rsidRPr="0028536E">
              <w:rPr>
                <w:rFonts w:ascii="Times New Roman" w:eastAsia="Times New Roman" w:hAnsi="Times New Roman" w:cs="Times New Roman"/>
                <w:kern w:val="0"/>
                <w14:ligatures w14:val="none"/>
              </w:rPr>
              <w:t xml:space="preserve"> — exchanges, TRACE, Markit, DTCC for CDS</w:t>
            </w:r>
          </w:p>
        </w:tc>
        <w:tc>
          <w:tcPr>
            <w:tcW w:w="0" w:type="auto"/>
            <w:vAlign w:val="center"/>
            <w:hideMark/>
          </w:tcPr>
          <w:p w14:paraId="7297EB63"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More real prices = more modellable RFs = less NMRF penalty.</w:t>
            </w:r>
          </w:p>
        </w:tc>
      </w:tr>
      <w:tr w:rsidR="0028536E" w:rsidRPr="0028536E" w14:paraId="38EF176E" w14:textId="77777777">
        <w:trPr>
          <w:tblCellSpacing w:w="15" w:type="dxa"/>
        </w:trPr>
        <w:tc>
          <w:tcPr>
            <w:tcW w:w="0" w:type="auto"/>
            <w:vAlign w:val="center"/>
            <w:hideMark/>
          </w:tcPr>
          <w:p w14:paraId="0DCE77F5"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5</w:t>
            </w:r>
          </w:p>
        </w:tc>
        <w:tc>
          <w:tcPr>
            <w:tcW w:w="0" w:type="auto"/>
            <w:vAlign w:val="center"/>
            <w:hideMark/>
          </w:tcPr>
          <w:p w14:paraId="44DCA003"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Build ES model</w:t>
            </w:r>
            <w:r w:rsidRPr="0028536E">
              <w:rPr>
                <w:rFonts w:ascii="Times New Roman" w:eastAsia="Times New Roman" w:hAnsi="Times New Roman" w:cs="Times New Roman"/>
                <w:kern w:val="0"/>
                <w14:ligatures w14:val="none"/>
              </w:rPr>
              <w:t xml:space="preserve"> — replace </w:t>
            </w:r>
            <w:proofErr w:type="spellStart"/>
            <w:r w:rsidRPr="0028536E">
              <w:rPr>
                <w:rFonts w:ascii="Times New Roman" w:eastAsia="Times New Roman" w:hAnsi="Times New Roman" w:cs="Times New Roman"/>
                <w:kern w:val="0"/>
                <w14:ligatures w14:val="none"/>
              </w:rPr>
              <w:t>VaR</w:t>
            </w:r>
            <w:proofErr w:type="spellEnd"/>
            <w:r w:rsidRPr="0028536E">
              <w:rPr>
                <w:rFonts w:ascii="Times New Roman" w:eastAsia="Times New Roman" w:hAnsi="Times New Roman" w:cs="Times New Roman"/>
                <w:kern w:val="0"/>
                <w14:ligatures w14:val="none"/>
              </w:rPr>
              <w:t>, calibrate to stress period, assign LH per RF</w:t>
            </w:r>
          </w:p>
        </w:tc>
        <w:tc>
          <w:tcPr>
            <w:tcW w:w="0" w:type="auto"/>
            <w:vAlign w:val="center"/>
            <w:hideMark/>
          </w:tcPr>
          <w:p w14:paraId="5EF35ACB"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New capital engine. Must run daily.</w:t>
            </w:r>
          </w:p>
        </w:tc>
      </w:tr>
      <w:tr w:rsidR="0028536E" w:rsidRPr="0028536E" w14:paraId="0FCF55FC" w14:textId="77777777">
        <w:trPr>
          <w:tblCellSpacing w:w="15" w:type="dxa"/>
        </w:trPr>
        <w:tc>
          <w:tcPr>
            <w:tcW w:w="0" w:type="auto"/>
            <w:vAlign w:val="center"/>
            <w:hideMark/>
          </w:tcPr>
          <w:p w14:paraId="4762B033"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6</w:t>
            </w:r>
          </w:p>
        </w:tc>
        <w:tc>
          <w:tcPr>
            <w:tcW w:w="0" w:type="auto"/>
            <w:vAlign w:val="center"/>
            <w:hideMark/>
          </w:tcPr>
          <w:p w14:paraId="300E7B2E"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Strip carry from HPL and RTPL</w:t>
            </w:r>
            <w:r w:rsidRPr="0028536E">
              <w:rPr>
                <w:rFonts w:ascii="Times New Roman" w:eastAsia="Times New Roman" w:hAnsi="Times New Roman" w:cs="Times New Roman"/>
                <w:kern w:val="0"/>
                <w14:ligatures w14:val="none"/>
              </w:rPr>
              <w:t xml:space="preserve"> — consistent methodology across credit</w:t>
            </w:r>
          </w:p>
        </w:tc>
        <w:tc>
          <w:tcPr>
            <w:tcW w:w="0" w:type="auto"/>
            <w:vAlign w:val="center"/>
            <w:hideMark/>
          </w:tcPr>
          <w:p w14:paraId="369867B5"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Protects PLA test. One carry estimate, consumed by both sides.</w:t>
            </w:r>
          </w:p>
        </w:tc>
      </w:tr>
      <w:tr w:rsidR="0028536E" w:rsidRPr="0028536E" w14:paraId="0C9A89D7" w14:textId="77777777">
        <w:trPr>
          <w:tblCellSpacing w:w="15" w:type="dxa"/>
        </w:trPr>
        <w:tc>
          <w:tcPr>
            <w:tcW w:w="0" w:type="auto"/>
            <w:vAlign w:val="center"/>
            <w:hideMark/>
          </w:tcPr>
          <w:p w14:paraId="2022661D"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7</w:t>
            </w:r>
          </w:p>
        </w:tc>
        <w:tc>
          <w:tcPr>
            <w:tcW w:w="0" w:type="auto"/>
            <w:vAlign w:val="center"/>
            <w:hideMark/>
          </w:tcPr>
          <w:p w14:paraId="62B41789"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 xml:space="preserve">Accumulate 250 days of </w:t>
            </w:r>
            <w:proofErr w:type="spellStart"/>
            <w:r w:rsidRPr="0028536E">
              <w:rPr>
                <w:rFonts w:ascii="Times New Roman" w:eastAsia="Times New Roman" w:hAnsi="Times New Roman" w:cs="Times New Roman"/>
                <w:b/>
                <w:bCs/>
                <w:kern w:val="0"/>
                <w14:ligatures w14:val="none"/>
              </w:rPr>
              <w:t>backtesting</w:t>
            </w:r>
            <w:proofErr w:type="spellEnd"/>
            <w:r w:rsidRPr="0028536E">
              <w:rPr>
                <w:rFonts w:ascii="Times New Roman" w:eastAsia="Times New Roman" w:hAnsi="Times New Roman" w:cs="Times New Roman"/>
                <w:kern w:val="0"/>
                <w14:ligatures w14:val="none"/>
              </w:rPr>
              <w:t xml:space="preserve"> — can't skip, can't compress</w:t>
            </w:r>
          </w:p>
        </w:tc>
        <w:tc>
          <w:tcPr>
            <w:tcW w:w="0" w:type="auto"/>
            <w:vAlign w:val="center"/>
            <w:hideMark/>
          </w:tcPr>
          <w:p w14:paraId="31F7DB08" w14:textId="77777777" w:rsidR="0028536E" w:rsidRPr="0028536E" w:rsidRDefault="0028536E" w:rsidP="0028536E">
            <w:pPr>
              <w:spacing w:after="0"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kern w:val="0"/>
                <w14:ligatures w14:val="none"/>
              </w:rPr>
              <w:t>Hard clock. Start P&amp;L streams as early as possible.</w:t>
            </w:r>
          </w:p>
        </w:tc>
      </w:tr>
    </w:tbl>
    <w:p w14:paraId="1FA6BEF8" w14:textId="77777777" w:rsidR="0028536E" w:rsidRPr="0028536E" w:rsidRDefault="0028536E" w:rsidP="0028536E">
      <w:pPr>
        <w:spacing w:before="100" w:beforeAutospacing="1" w:after="100" w:afterAutospacing="1" w:line="240" w:lineRule="auto"/>
        <w:rPr>
          <w:rFonts w:ascii="Times New Roman" w:eastAsia="Times New Roman" w:hAnsi="Times New Roman" w:cs="Times New Roman"/>
          <w:kern w:val="0"/>
          <w14:ligatures w14:val="none"/>
        </w:rPr>
      </w:pPr>
      <w:r w:rsidRPr="0028536E">
        <w:rPr>
          <w:rFonts w:ascii="Times New Roman" w:eastAsia="Times New Roman" w:hAnsi="Times New Roman" w:cs="Times New Roman"/>
          <w:b/>
          <w:bCs/>
          <w:kern w:val="0"/>
          <w14:ligatures w14:val="none"/>
        </w:rPr>
        <w:t>The punchline:</w:t>
      </w:r>
      <w:r w:rsidRPr="0028536E">
        <w:rPr>
          <w:rFonts w:ascii="Times New Roman" w:eastAsia="Times New Roman" w:hAnsi="Times New Roman" w:cs="Times New Roman"/>
          <w:kern w:val="0"/>
          <w14:ligatures w14:val="none"/>
        </w:rPr>
        <w:t xml:space="preserve"> IMA can save your credit desk meaningful capital — especially if you run CDS-bond basis trades and index-vs-single-name hedges that SA doesn't properly credit. But to get there, the FO model, the risk model, and the data infrastructure all need to level up. The biggest risk is not that the ES model is hard to build — it's that PLA fails because the FO and risk sides aren't aligned on the basic question of what a credit risk factor looks like.</w:t>
      </w:r>
    </w:p>
    <w:p w14:paraId="4600D9A5" w14:textId="77777777" w:rsidR="0028536E" w:rsidRPr="0028536E" w:rsidRDefault="0028536E" w:rsidP="0028536E"/>
    <w:sectPr w:rsidR="0028536E" w:rsidRPr="00285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7BBD"/>
    <w:multiLevelType w:val="multilevel"/>
    <w:tmpl w:val="A05C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D1941"/>
    <w:multiLevelType w:val="multilevel"/>
    <w:tmpl w:val="003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7387B"/>
    <w:multiLevelType w:val="multilevel"/>
    <w:tmpl w:val="132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143B6"/>
    <w:multiLevelType w:val="multilevel"/>
    <w:tmpl w:val="CE08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A008BD"/>
    <w:multiLevelType w:val="multilevel"/>
    <w:tmpl w:val="B5F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946BC"/>
    <w:multiLevelType w:val="multilevel"/>
    <w:tmpl w:val="B73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02778"/>
    <w:multiLevelType w:val="multilevel"/>
    <w:tmpl w:val="AA6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64C62"/>
    <w:multiLevelType w:val="multilevel"/>
    <w:tmpl w:val="2028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05520"/>
    <w:multiLevelType w:val="multilevel"/>
    <w:tmpl w:val="FC4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07807"/>
    <w:multiLevelType w:val="multilevel"/>
    <w:tmpl w:val="CA526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8963E5"/>
    <w:multiLevelType w:val="multilevel"/>
    <w:tmpl w:val="13A2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E597A"/>
    <w:multiLevelType w:val="multilevel"/>
    <w:tmpl w:val="CC06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B371EE"/>
    <w:multiLevelType w:val="multilevel"/>
    <w:tmpl w:val="F5FC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14E57"/>
    <w:multiLevelType w:val="multilevel"/>
    <w:tmpl w:val="4EEC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E7A96"/>
    <w:multiLevelType w:val="multilevel"/>
    <w:tmpl w:val="379C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549D2"/>
    <w:multiLevelType w:val="multilevel"/>
    <w:tmpl w:val="714A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072A9"/>
    <w:multiLevelType w:val="multilevel"/>
    <w:tmpl w:val="11A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27394">
    <w:abstractNumId w:val="10"/>
  </w:num>
  <w:num w:numId="2" w16cid:durableId="81413323">
    <w:abstractNumId w:val="9"/>
  </w:num>
  <w:num w:numId="3" w16cid:durableId="866523511">
    <w:abstractNumId w:val="11"/>
  </w:num>
  <w:num w:numId="4" w16cid:durableId="170806057">
    <w:abstractNumId w:val="1"/>
  </w:num>
  <w:num w:numId="5" w16cid:durableId="114253924">
    <w:abstractNumId w:val="4"/>
  </w:num>
  <w:num w:numId="6" w16cid:durableId="648366164">
    <w:abstractNumId w:val="5"/>
  </w:num>
  <w:num w:numId="7" w16cid:durableId="804009899">
    <w:abstractNumId w:val="16"/>
  </w:num>
  <w:num w:numId="8" w16cid:durableId="937064265">
    <w:abstractNumId w:val="13"/>
  </w:num>
  <w:num w:numId="9" w16cid:durableId="1667636266">
    <w:abstractNumId w:val="15"/>
  </w:num>
  <w:num w:numId="10" w16cid:durableId="608242145">
    <w:abstractNumId w:val="8"/>
  </w:num>
  <w:num w:numId="11" w16cid:durableId="1611931445">
    <w:abstractNumId w:val="7"/>
  </w:num>
  <w:num w:numId="12" w16cid:durableId="1990933898">
    <w:abstractNumId w:val="14"/>
  </w:num>
  <w:num w:numId="13" w16cid:durableId="1664430282">
    <w:abstractNumId w:val="3"/>
  </w:num>
  <w:num w:numId="14" w16cid:durableId="1537542214">
    <w:abstractNumId w:val="0"/>
  </w:num>
  <w:num w:numId="15" w16cid:durableId="273637768">
    <w:abstractNumId w:val="2"/>
  </w:num>
  <w:num w:numId="16" w16cid:durableId="1165777600">
    <w:abstractNumId w:val="12"/>
  </w:num>
  <w:num w:numId="17" w16cid:durableId="1154835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36E"/>
    <w:rsid w:val="000158CE"/>
    <w:rsid w:val="00285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E63D2"/>
  <w15:chartTrackingRefBased/>
  <w15:docId w15:val="{E94DB296-EC6D-4B1F-BBE3-E823E8D0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6E"/>
  </w:style>
  <w:style w:type="paragraph" w:styleId="Heading1">
    <w:name w:val="heading 1"/>
    <w:basedOn w:val="Normal"/>
    <w:next w:val="Normal"/>
    <w:link w:val="Heading1Char"/>
    <w:uiPriority w:val="9"/>
    <w:qFormat/>
    <w:rsid w:val="00285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5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53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3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3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3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53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53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3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3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36E"/>
    <w:rPr>
      <w:rFonts w:eastAsiaTheme="majorEastAsia" w:cstheme="majorBidi"/>
      <w:color w:val="272727" w:themeColor="text1" w:themeTint="D8"/>
    </w:rPr>
  </w:style>
  <w:style w:type="paragraph" w:styleId="Title">
    <w:name w:val="Title"/>
    <w:basedOn w:val="Normal"/>
    <w:next w:val="Normal"/>
    <w:link w:val="TitleChar"/>
    <w:uiPriority w:val="10"/>
    <w:qFormat/>
    <w:rsid w:val="00285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36E"/>
    <w:pPr>
      <w:spacing w:before="160"/>
      <w:jc w:val="center"/>
    </w:pPr>
    <w:rPr>
      <w:i/>
      <w:iCs/>
      <w:color w:val="404040" w:themeColor="text1" w:themeTint="BF"/>
    </w:rPr>
  </w:style>
  <w:style w:type="character" w:customStyle="1" w:styleId="QuoteChar">
    <w:name w:val="Quote Char"/>
    <w:basedOn w:val="DefaultParagraphFont"/>
    <w:link w:val="Quote"/>
    <w:uiPriority w:val="29"/>
    <w:rsid w:val="0028536E"/>
    <w:rPr>
      <w:i/>
      <w:iCs/>
      <w:color w:val="404040" w:themeColor="text1" w:themeTint="BF"/>
    </w:rPr>
  </w:style>
  <w:style w:type="paragraph" w:styleId="ListParagraph">
    <w:name w:val="List Paragraph"/>
    <w:basedOn w:val="Normal"/>
    <w:uiPriority w:val="34"/>
    <w:qFormat/>
    <w:rsid w:val="0028536E"/>
    <w:pPr>
      <w:ind w:left="720"/>
      <w:contextualSpacing/>
    </w:pPr>
  </w:style>
  <w:style w:type="character" w:styleId="IntenseEmphasis">
    <w:name w:val="Intense Emphasis"/>
    <w:basedOn w:val="DefaultParagraphFont"/>
    <w:uiPriority w:val="21"/>
    <w:qFormat/>
    <w:rsid w:val="0028536E"/>
    <w:rPr>
      <w:i/>
      <w:iCs/>
      <w:color w:val="2F5496" w:themeColor="accent1" w:themeShade="BF"/>
    </w:rPr>
  </w:style>
  <w:style w:type="paragraph" w:styleId="IntenseQuote">
    <w:name w:val="Intense Quote"/>
    <w:basedOn w:val="Normal"/>
    <w:next w:val="Normal"/>
    <w:link w:val="IntenseQuoteChar"/>
    <w:uiPriority w:val="30"/>
    <w:qFormat/>
    <w:rsid w:val="00285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36E"/>
    <w:rPr>
      <w:i/>
      <w:iCs/>
      <w:color w:val="2F5496" w:themeColor="accent1" w:themeShade="BF"/>
    </w:rPr>
  </w:style>
  <w:style w:type="character" w:styleId="IntenseReference">
    <w:name w:val="Intense Reference"/>
    <w:basedOn w:val="DefaultParagraphFont"/>
    <w:uiPriority w:val="32"/>
    <w:qFormat/>
    <w:rsid w:val="0028536E"/>
    <w:rPr>
      <w:b/>
      <w:bCs/>
      <w:smallCaps/>
      <w:color w:val="2F5496" w:themeColor="accent1" w:themeShade="BF"/>
      <w:spacing w:val="5"/>
    </w:rPr>
  </w:style>
  <w:style w:type="paragraph" w:styleId="NormalWeb">
    <w:name w:val="Normal (Web)"/>
    <w:basedOn w:val="Normal"/>
    <w:uiPriority w:val="99"/>
    <w:semiHidden/>
    <w:unhideWhenUsed/>
    <w:rsid w:val="002853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53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1130</Words>
  <Characters>6442</Characters>
  <Application>Microsoft Office Word</Application>
  <DocSecurity>0</DocSecurity>
  <Lines>53</Lines>
  <Paragraphs>15</Paragraphs>
  <ScaleCrop>false</ScaleCrop>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1</cp:revision>
  <dcterms:created xsi:type="dcterms:W3CDTF">2026-04-24T20:56:00Z</dcterms:created>
  <dcterms:modified xsi:type="dcterms:W3CDTF">2026-04-24T20:57:00Z</dcterms:modified>
</cp:coreProperties>
</file>