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056C3" w14:textId="73C5A3BB" w:rsidR="005C0FC1" w:rsidRPr="005C0FC1" w:rsidRDefault="005C0FC1" w:rsidP="005C0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FD589F" w14:textId="3EAE3C5B" w:rsidR="005C0FC1" w:rsidRPr="005C0FC1" w:rsidRDefault="005C0FC1" w:rsidP="005C0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Our </w:t>
      </w:r>
      <w:r w:rsidRPr="005C0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Current</w:t>
      </w:r>
      <w:proofErr w:type="gramEnd"/>
      <w:r w:rsidRPr="005C0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Setup </w:t>
      </w:r>
    </w:p>
    <w:p w14:paraId="243DA72D" w14:textId="77777777" w:rsidR="005C0FC1" w:rsidRPr="005C0FC1" w:rsidRDefault="005C0FC1" w:rsidP="005C0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FC1">
        <w:rPr>
          <w:rFonts w:ascii="Times New Roman" w:eastAsia="Times New Roman" w:hAnsi="Times New Roman" w:cs="Times New Roman"/>
          <w:kern w:val="0"/>
          <w14:ligatures w14:val="none"/>
        </w:rPr>
        <w:t>You have two systems looking at the same credit book, but they see completely different things:</w:t>
      </w:r>
    </w:p>
    <w:p w14:paraId="6C4333E6" w14:textId="4529577D" w:rsidR="005C0FC1" w:rsidRPr="005C0FC1" w:rsidRDefault="005C0FC1" w:rsidP="005C0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Cash Bonds (fixed, floaters, </w:t>
      </w:r>
      <w:proofErr w:type="spellStart"/>
      <w:r w:rsidRPr="005C0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callables</w:t>
      </w:r>
      <w:proofErr w:type="spellEnd"/>
      <w:r w:rsidRPr="005C0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5C0F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our </w:t>
      </w:r>
      <w:r w:rsidRPr="005C0FC1">
        <w:rPr>
          <w:rFonts w:ascii="Times New Roman" w:eastAsia="Times New Roman" w:hAnsi="Times New Roman" w:cs="Times New Roman"/>
          <w:kern w:val="0"/>
          <w14:ligatures w14:val="none"/>
        </w:rPr>
        <w:t>front</w:t>
      </w:r>
      <w:r w:rsidRPr="005C0FC1">
        <w:rPr>
          <w:rFonts w:ascii="Times New Roman" w:eastAsia="Times New Roman" w:hAnsi="Times New Roman" w:cs="Times New Roman"/>
          <w:kern w:val="0"/>
          <w14:ligatures w14:val="none"/>
        </w:rPr>
        <w:t xml:space="preserve"> office model treats these as a stream of future cash flows — coupons plus principal — and discounts them back to today using interest rate discount factors. It assumes you'll collect every payment until maturity. It has </w:t>
      </w:r>
      <w:r w:rsidRPr="005C0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view of credit risk at all</w:t>
      </w:r>
      <w:r w:rsidRPr="005C0FC1">
        <w:rPr>
          <w:rFonts w:ascii="Times New Roman" w:eastAsia="Times New Roman" w:hAnsi="Times New Roman" w:cs="Times New Roman"/>
          <w:kern w:val="0"/>
          <w14:ligatures w14:val="none"/>
        </w:rPr>
        <w:t xml:space="preserve"> — no hazard rate, no default probability, no credit spread sensitivity. If Ford's credit spread widens 50 bps tomorrow, your FO model says the bond's P&amp;L change is zero from credit. Your risk model, on the other hand, applies shocks from a rating-based credit curve — say "BBB Industrials" — and says the bond lost money. One system sees credit. The other doesn't. They will never produce the same P&amp;L.</w:t>
      </w:r>
    </w:p>
    <w:p w14:paraId="692AF47D" w14:textId="77777777" w:rsidR="005C0FC1" w:rsidRPr="005C0FC1" w:rsidRDefault="005C0FC1" w:rsidP="005C0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CDS:</w:t>
      </w:r>
      <w:r w:rsidRPr="005C0FC1">
        <w:rPr>
          <w:rFonts w:ascii="Times New Roman" w:eastAsia="Times New Roman" w:hAnsi="Times New Roman" w:cs="Times New Roman"/>
          <w:kern w:val="0"/>
          <w14:ligatures w14:val="none"/>
        </w:rPr>
        <w:t xml:space="preserve"> Your front office prices each CDS using the </w:t>
      </w:r>
      <w:r w:rsidRPr="005C0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issuer's own hazard curve</w:t>
      </w:r>
      <w:r w:rsidRPr="005C0FC1">
        <w:rPr>
          <w:rFonts w:ascii="Times New Roman" w:eastAsia="Times New Roman" w:hAnsi="Times New Roman" w:cs="Times New Roman"/>
          <w:kern w:val="0"/>
          <w14:ligatures w14:val="none"/>
        </w:rPr>
        <w:t xml:space="preserve"> — Ford's specific CDS spread at each tenor. Your risk model shocks a </w:t>
      </w:r>
      <w:r w:rsidRPr="005C0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 rating bucket</w:t>
      </w:r>
      <w:r w:rsidRPr="005C0FC1">
        <w:rPr>
          <w:rFonts w:ascii="Times New Roman" w:eastAsia="Times New Roman" w:hAnsi="Times New Roman" w:cs="Times New Roman"/>
          <w:kern w:val="0"/>
          <w14:ligatures w14:val="none"/>
        </w:rPr>
        <w:t xml:space="preserve"> — something like "US BBB" or "European IG." On any given day, Ford's spread might widen 10 bps while the "US BBB" bucket only moves 3 bps (because the bucket averages dozens of names). Your FO says the CDS lost X. Your risk model says it lost a different number. Every day there's a gap — sometimes small, sometimes large — and over 250 days, that gap fails the regulator's test.</w:t>
      </w:r>
    </w:p>
    <w:p w14:paraId="2FF25C04" w14:textId="77777777" w:rsidR="005C0FC1" w:rsidRPr="005C0FC1" w:rsidRDefault="005C0FC1" w:rsidP="005C0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punchline in one sentence:</w:t>
      </w:r>
      <w:r w:rsidRPr="005C0FC1">
        <w:rPr>
          <w:rFonts w:ascii="Times New Roman" w:eastAsia="Times New Roman" w:hAnsi="Times New Roman" w:cs="Times New Roman"/>
          <w:kern w:val="0"/>
          <w14:ligatures w14:val="none"/>
        </w:rPr>
        <w:t xml:space="preserve"> Your front office and risk models are looking at the same positions but using different lenses — and under IMA, the regulator will compare those lenses daily for a full year and reject you if they don't match.</w:t>
      </w:r>
    </w:p>
    <w:p w14:paraId="15B67CA7" w14:textId="6FAAE7D6" w:rsidR="005C0FC1" w:rsidRPr="005C0FC1" w:rsidRDefault="005C0FC1" w:rsidP="005C0FC1"/>
    <w:sectPr w:rsidR="005C0FC1" w:rsidRPr="005C0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FC1"/>
    <w:rsid w:val="000158CE"/>
    <w:rsid w:val="005C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68FD7"/>
  <w15:chartTrackingRefBased/>
  <w15:docId w15:val="{ADD8FF68-3847-41AD-8C8C-315259CFF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F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0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0F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CHOUKRI ABDELILAH</dc:creator>
  <cp:keywords/>
  <dc:description/>
  <cp:lastModifiedBy>CHOUKRI ABDELILAH</cp:lastModifiedBy>
  <cp:revision>1</cp:revision>
  <dcterms:created xsi:type="dcterms:W3CDTF">2026-04-24T21:01:00Z</dcterms:created>
  <dcterms:modified xsi:type="dcterms:W3CDTF">2026-04-24T21:04:00Z</dcterms:modified>
</cp:coreProperties>
</file>